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szCs w:val="21"/>
              </w:rPr>
              <w:t>艾谱机电发展（宁波）有限公司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宁波市北仑区大港工业城大港中路29号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szCs w:val="21"/>
              </w:rPr>
              <w:t>林佳龙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color w:val="000000"/>
                <w:szCs w:val="21"/>
              </w:rPr>
              <w:t>艾谱机电发展（宁波）有限公司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505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E505A">
              <w:rPr>
                <w:rFonts w:hint="eastAsia"/>
                <w:color w:val="000000"/>
                <w:sz w:val="18"/>
                <w:szCs w:val="18"/>
              </w:rPr>
              <w:t>朱毅东奇、张龙、曾杰、孙建宇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505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505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E505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szCs w:val="21"/>
              </w:rPr>
              <w:t>林佳龙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505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505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E505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朱毅东奇、张龙、曾杰、孙建宇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D24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D243F">
              <w:rPr>
                <w:rFonts w:asciiTheme="minorEastAsia" w:hAnsiTheme="minorEastAsia" w:cs="Times New Roman" w:hint="eastAsia"/>
                <w:szCs w:val="21"/>
              </w:rPr>
              <w:t>林佳龙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9E505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87630</wp:posOffset>
                  </wp:positionV>
                  <wp:extent cx="1985010" cy="148463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090851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1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ACB" w:rsidRDefault="00DA2ACB" w:rsidP="004264CB">
      <w:r>
        <w:separator/>
      </w:r>
    </w:p>
  </w:endnote>
  <w:endnote w:type="continuationSeparator" w:id="0">
    <w:p w:rsidR="00DA2ACB" w:rsidRDefault="00DA2AC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ACB" w:rsidRDefault="00DA2ACB" w:rsidP="004264CB">
      <w:r>
        <w:separator/>
      </w:r>
    </w:p>
  </w:footnote>
  <w:footnote w:type="continuationSeparator" w:id="0">
    <w:p w:rsidR="00DA2ACB" w:rsidRDefault="00DA2AC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1263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E505A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D243F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2ACB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0EBB-7A49-4295-AE02-D68CDEEE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CHINA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