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szCs w:val="21"/>
              </w:rPr>
              <w:t>大越（慈溪）食品工业有限公司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宁波慈溪绿色农产品加工基地南园路700号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陈杨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大越（慈溪）食品工业有限公司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常腾起、刘瀚裕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常腾起、刘瀚裕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陈杨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常腾起、刘瀚裕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陈杨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44450</wp:posOffset>
                  </wp:positionV>
                  <wp:extent cx="4102735" cy="2307590"/>
                  <wp:effectExtent l="0" t="0" r="12065" b="1651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383" b="424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2735" cy="2307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7744B0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A46421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0A0CA7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175</Words>
  <Characters>177</Characters>
  <Lines>1</Lines>
  <Paragraphs>1</Paragraphs>
  <TotalTime>1</TotalTime>
  <ScaleCrop>false</ScaleCrop>
  <LinksUpToDate>false</LinksUpToDate>
  <CharactersWithSpaces>177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2023-05-12T03:05:41Z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