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szCs w:val="21"/>
              </w:rPr>
              <w:t>宁波腾宇金属制品有限公司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宁波市北仑区霞浦青龙桥路188号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szCs w:val="21"/>
              </w:rPr>
              <w:t>白瑜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宁波腾宇金属制品有限公司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42164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42164">
              <w:rPr>
                <w:rFonts w:hint="eastAsia"/>
                <w:color w:val="000000"/>
                <w:sz w:val="18"/>
                <w:szCs w:val="18"/>
              </w:rPr>
              <w:t>常腾起、刘瀚裕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74F3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74F3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74F3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常腾起、刘瀚裕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szCs w:val="21"/>
              </w:rPr>
              <w:t>白瑜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4216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4216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4216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B7D7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B7D7D">
              <w:rPr>
                <w:rFonts w:asciiTheme="minorEastAsia" w:hAnsiTheme="minorEastAsia" w:cs="Times New Roman" w:hint="eastAsia"/>
                <w:szCs w:val="21"/>
              </w:rPr>
              <w:t>白瑜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55A6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49530</wp:posOffset>
                  </wp:positionV>
                  <wp:extent cx="2219960" cy="1667510"/>
                  <wp:effectExtent l="19050" t="0" r="889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0915444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166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CA9" w:rsidRDefault="00FA1CA9" w:rsidP="004264CB">
      <w:r>
        <w:separator/>
      </w:r>
    </w:p>
  </w:endnote>
  <w:endnote w:type="continuationSeparator" w:id="0">
    <w:p w:rsidR="00FA1CA9" w:rsidRDefault="00FA1CA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CA9" w:rsidRDefault="00FA1CA9" w:rsidP="004264CB">
      <w:r>
        <w:separator/>
      </w:r>
    </w:p>
  </w:footnote>
  <w:footnote w:type="continuationSeparator" w:id="0">
    <w:p w:rsidR="00FA1CA9" w:rsidRDefault="00FA1CA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72CC8"/>
    <w:rsid w:val="00181673"/>
    <w:rsid w:val="001B7D7D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74F30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55A67"/>
    <w:rsid w:val="00BC7449"/>
    <w:rsid w:val="00C23799"/>
    <w:rsid w:val="00C42164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A1CA9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61CB-F07E-4F8B-9EB9-D19287D6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