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9000"/>
        </w:tabs>
        <w:ind w:right="-514"/>
        <w:jc w:val="center"/>
        <w:rPr>
          <w:rFonts w:ascii="Times New Roman" w:hAnsi="Times New Roman" w:cs="Times New Roman"/>
          <w:color w:val="auto"/>
          <w:spacing w:val="80"/>
          <w:sz w:val="44"/>
          <w:highlight w:val="none"/>
        </w:rPr>
      </w:pPr>
    </w:p>
    <w:p>
      <w:pPr>
        <w:tabs>
          <w:tab w:val="left" w:pos="9000"/>
        </w:tabs>
        <w:ind w:right="-514"/>
        <w:jc w:val="center"/>
        <w:rPr>
          <w:rFonts w:ascii="Times New Roman" w:hAnsi="Times New Roman" w:cs="Times New Roman"/>
          <w:color w:val="auto"/>
          <w:spacing w:val="80"/>
          <w:sz w:val="44"/>
          <w:highlight w:val="none"/>
        </w:rPr>
      </w:pPr>
    </w:p>
    <w:p>
      <w:pPr>
        <w:tabs>
          <w:tab w:val="left" w:pos="9000"/>
        </w:tabs>
        <w:ind w:right="-514"/>
        <w:jc w:val="center"/>
        <w:rPr>
          <w:rFonts w:ascii="Times New Roman" w:hAnsi="Times New Roman" w:cs="Times New Roman"/>
          <w:color w:val="auto"/>
          <w:spacing w:val="80"/>
          <w:sz w:val="44"/>
          <w:highlight w:val="none"/>
        </w:rPr>
      </w:pPr>
    </w:p>
    <w:p>
      <w:pPr>
        <w:tabs>
          <w:tab w:val="left" w:pos="9000"/>
        </w:tabs>
        <w:ind w:right="-514"/>
        <w:jc w:val="center"/>
        <w:rPr>
          <w:rFonts w:ascii="Times New Roman" w:hAnsi="Times New Roman" w:cs="Times New Roman"/>
          <w:b/>
          <w:bCs/>
          <w:color w:val="auto"/>
          <w:spacing w:val="80"/>
          <w:sz w:val="52"/>
          <w:szCs w:val="52"/>
          <w:highlight w:val="none"/>
        </w:rPr>
      </w:pPr>
      <w:r>
        <w:rPr>
          <w:rFonts w:ascii="Times New Roman" w:hAnsi="Times New Roman" w:cs="Times New Roman"/>
          <w:b/>
          <w:bCs/>
          <w:color w:val="auto"/>
          <w:spacing w:val="80"/>
          <w:sz w:val="52"/>
          <w:szCs w:val="52"/>
          <w:highlight w:val="none"/>
        </w:rPr>
        <w:t>建设项目竣工环境保护</w:t>
      </w:r>
    </w:p>
    <w:p>
      <w:pPr>
        <w:tabs>
          <w:tab w:val="left" w:pos="9000"/>
        </w:tabs>
        <w:ind w:right="-514"/>
        <w:jc w:val="center"/>
        <w:rPr>
          <w:rFonts w:ascii="Times New Roman" w:hAnsi="Times New Roman" w:cs="Times New Roman"/>
          <w:b/>
          <w:bCs/>
          <w:color w:val="auto"/>
          <w:spacing w:val="80"/>
          <w:sz w:val="52"/>
          <w:szCs w:val="52"/>
          <w:highlight w:val="none"/>
        </w:rPr>
      </w:pPr>
      <w:r>
        <w:rPr>
          <w:rFonts w:ascii="Times New Roman" w:hAnsi="Times New Roman" w:cs="Times New Roman"/>
          <w:b/>
          <w:bCs/>
          <w:color w:val="auto"/>
          <w:spacing w:val="80"/>
          <w:sz w:val="52"/>
          <w:szCs w:val="52"/>
          <w:highlight w:val="none"/>
        </w:rPr>
        <w:t>验收监测报告</w:t>
      </w:r>
    </w:p>
    <w:p>
      <w:pPr>
        <w:tabs>
          <w:tab w:val="left" w:pos="9000"/>
        </w:tabs>
        <w:ind w:right="-514"/>
        <w:rPr>
          <w:rFonts w:ascii="Times New Roman" w:hAnsi="Times New Roman" w:cs="Times New Roman"/>
          <w:color w:val="auto"/>
          <w:sz w:val="28"/>
          <w:szCs w:val="28"/>
          <w:highlight w:val="none"/>
        </w:rPr>
      </w:pPr>
    </w:p>
    <w:p>
      <w:pPr>
        <w:tabs>
          <w:tab w:val="left" w:pos="9000"/>
        </w:tabs>
        <w:ind w:right="-514"/>
        <w:rPr>
          <w:rFonts w:ascii="Times New Roman" w:hAnsi="Times New Roman" w:cs="Times New Roman"/>
          <w:color w:val="auto"/>
          <w:sz w:val="28"/>
          <w:szCs w:val="28"/>
          <w:highlight w:val="none"/>
        </w:rPr>
      </w:pPr>
    </w:p>
    <w:p>
      <w:pPr>
        <w:tabs>
          <w:tab w:val="left" w:pos="9000"/>
        </w:tabs>
        <w:ind w:right="-514"/>
        <w:rPr>
          <w:rFonts w:ascii="Times New Roman" w:hAnsi="Times New Roman" w:cs="Times New Roman"/>
          <w:color w:val="auto"/>
          <w:sz w:val="28"/>
          <w:szCs w:val="28"/>
          <w:highlight w:val="none"/>
        </w:rPr>
      </w:pPr>
    </w:p>
    <w:p>
      <w:pPr>
        <w:tabs>
          <w:tab w:val="left" w:pos="9000"/>
        </w:tabs>
        <w:ind w:right="-514"/>
        <w:rPr>
          <w:rFonts w:ascii="Times New Roman" w:hAnsi="Times New Roman" w:cs="Times New Roman"/>
          <w:color w:val="auto"/>
          <w:sz w:val="28"/>
          <w:szCs w:val="28"/>
          <w:highlight w:val="none"/>
        </w:rPr>
      </w:pPr>
    </w:p>
    <w:p>
      <w:pPr>
        <w:tabs>
          <w:tab w:val="left" w:pos="9000"/>
        </w:tabs>
        <w:ind w:right="-514"/>
        <w:rPr>
          <w:rFonts w:ascii="Times New Roman" w:hAnsi="Times New Roman" w:cs="Times New Roman"/>
          <w:color w:val="auto"/>
          <w:sz w:val="28"/>
          <w:szCs w:val="28"/>
          <w:highlight w:val="none"/>
        </w:rPr>
      </w:pPr>
    </w:p>
    <w:p>
      <w:pPr>
        <w:tabs>
          <w:tab w:val="left" w:pos="9000"/>
        </w:tabs>
        <w:ind w:right="-514" w:firstLine="640" w:firstLineChars="200"/>
        <w:rPr>
          <w:rFonts w:hint="eastAsia" w:ascii="Times New Roman" w:hAnsi="Times New Roman" w:cs="Times New Roman" w:eastAsiaTheme="minorEastAsia"/>
          <w:bCs/>
          <w:color w:val="auto"/>
          <w:sz w:val="32"/>
          <w:szCs w:val="32"/>
          <w:highlight w:val="none"/>
          <w:u w:val="single"/>
          <w:lang w:eastAsia="zh-CN"/>
        </w:rPr>
      </w:pPr>
      <w:r>
        <w:rPr>
          <w:rFonts w:ascii="Times New Roman" w:hAnsi="Times New Roman" w:cs="Times New Roman"/>
          <w:color w:val="auto"/>
          <w:sz w:val="32"/>
          <w:szCs w:val="32"/>
          <w:highlight w:val="none"/>
        </w:rPr>
        <w:t>项目名称：</w:t>
      </w:r>
      <w:r>
        <w:rPr>
          <w:rFonts w:hint="eastAsia" w:ascii="Times New Roman" w:hAnsi="Times New Roman" w:cs="Times New Roman"/>
          <w:bCs/>
          <w:color w:val="auto"/>
          <w:sz w:val="32"/>
          <w:szCs w:val="32"/>
          <w:highlight w:val="none"/>
          <w:u w:val="single"/>
          <w:lang w:eastAsia="zh-CN"/>
        </w:rPr>
        <w:t>年回收拆解3万台报废汽车扩建项目</w:t>
      </w:r>
    </w:p>
    <w:p>
      <w:pPr>
        <w:tabs>
          <w:tab w:val="left" w:pos="9000"/>
        </w:tabs>
        <w:ind w:right="-514" w:firstLine="640" w:firstLineChars="200"/>
        <w:rPr>
          <w:rFonts w:ascii="Times New Roman" w:hAnsi="Times New Roman" w:cs="Times New Roman"/>
          <w:bCs/>
          <w:color w:val="auto"/>
          <w:sz w:val="32"/>
          <w:szCs w:val="32"/>
          <w:highlight w:val="none"/>
          <w:u w:val="single"/>
        </w:rPr>
      </w:pPr>
    </w:p>
    <w:p>
      <w:pPr>
        <w:tabs>
          <w:tab w:val="left" w:pos="9000"/>
        </w:tabs>
        <w:ind w:right="-514" w:firstLine="640" w:firstLineChars="200"/>
        <w:rPr>
          <w:rFonts w:hint="eastAsia" w:ascii="Times New Roman" w:hAnsi="Times New Roman" w:cs="Times New Roman" w:eastAsiaTheme="minorEastAsia"/>
          <w:b/>
          <w:color w:val="auto"/>
          <w:sz w:val="32"/>
          <w:szCs w:val="32"/>
          <w:highlight w:val="none"/>
          <w:u w:val="single"/>
          <w:lang w:eastAsia="zh-CN"/>
        </w:rPr>
      </w:pPr>
      <w:r>
        <w:rPr>
          <w:rFonts w:ascii="Times New Roman" w:hAnsi="Times New Roman" w:cs="Times New Roman"/>
          <w:color w:val="auto"/>
          <w:sz w:val="32"/>
          <w:szCs w:val="32"/>
          <w:highlight w:val="none"/>
        </w:rPr>
        <w:t>委托单位：</w:t>
      </w:r>
      <w:r>
        <w:rPr>
          <w:rFonts w:hint="eastAsia" w:ascii="Times New Roman" w:hAnsi="Times New Roman" w:cs="Times New Roman"/>
          <w:bCs/>
          <w:color w:val="auto"/>
          <w:sz w:val="32"/>
          <w:szCs w:val="32"/>
          <w:highlight w:val="none"/>
          <w:u w:val="single"/>
          <w:lang w:eastAsia="zh-CN"/>
        </w:rPr>
        <w:t>宁波市鄞州勤锦金属回收有限公司</w:t>
      </w:r>
    </w:p>
    <w:p>
      <w:pPr>
        <w:tabs>
          <w:tab w:val="left" w:pos="9000"/>
        </w:tabs>
        <w:ind w:right="-514" w:firstLine="900" w:firstLineChars="250"/>
        <w:rPr>
          <w:rFonts w:ascii="Times New Roman" w:hAnsi="Times New Roman" w:cs="Times New Roman"/>
          <w:color w:val="auto"/>
          <w:spacing w:val="20"/>
          <w:sz w:val="32"/>
          <w:szCs w:val="32"/>
          <w:highlight w:val="none"/>
          <w:u w:val="single"/>
        </w:rPr>
      </w:pPr>
    </w:p>
    <w:p>
      <w:pPr>
        <w:tabs>
          <w:tab w:val="left" w:pos="9000"/>
        </w:tabs>
        <w:ind w:right="-514"/>
        <w:jc w:val="center"/>
        <w:rPr>
          <w:rFonts w:ascii="Times New Roman" w:hAnsi="Times New Roman" w:cs="Times New Roman"/>
          <w:color w:val="auto"/>
          <w:sz w:val="32"/>
          <w:highlight w:val="none"/>
        </w:rPr>
      </w:pPr>
    </w:p>
    <w:p>
      <w:pPr>
        <w:tabs>
          <w:tab w:val="left" w:pos="9000"/>
        </w:tabs>
        <w:ind w:right="-514"/>
        <w:jc w:val="center"/>
        <w:rPr>
          <w:rFonts w:ascii="Times New Roman" w:hAnsi="Times New Roman" w:cs="Times New Roman"/>
          <w:color w:val="auto"/>
          <w:sz w:val="32"/>
          <w:highlight w:val="none"/>
        </w:rPr>
      </w:pPr>
    </w:p>
    <w:p>
      <w:pPr>
        <w:spacing w:line="360" w:lineRule="auto"/>
        <w:rPr>
          <w:rFonts w:ascii="Times New Roman" w:hAnsi="Times New Roman" w:cs="Times New Roman"/>
          <w:color w:val="auto"/>
          <w:sz w:val="30"/>
          <w:szCs w:val="30"/>
          <w:highlight w:val="none"/>
        </w:rPr>
      </w:pPr>
    </w:p>
    <w:p>
      <w:pPr>
        <w:spacing w:line="360" w:lineRule="auto"/>
        <w:rPr>
          <w:rFonts w:ascii="Times New Roman" w:hAnsi="Times New Roman" w:cs="Times New Roman"/>
          <w:color w:val="auto"/>
          <w:sz w:val="30"/>
          <w:szCs w:val="30"/>
          <w:highlight w:val="none"/>
        </w:rPr>
      </w:pPr>
    </w:p>
    <w:p>
      <w:pPr>
        <w:spacing w:line="360" w:lineRule="auto"/>
        <w:rPr>
          <w:rFonts w:ascii="Times New Roman" w:hAnsi="Times New Roman" w:cs="Times New Roman"/>
          <w:color w:val="auto"/>
          <w:sz w:val="30"/>
          <w:szCs w:val="30"/>
          <w:highlight w:val="none"/>
        </w:rPr>
      </w:pPr>
    </w:p>
    <w:p>
      <w:pPr>
        <w:autoSpaceDE w:val="0"/>
        <w:autoSpaceDN w:val="0"/>
        <w:adjustRightInd w:val="0"/>
        <w:spacing w:line="360" w:lineRule="auto"/>
        <w:jc w:val="center"/>
        <w:rPr>
          <w:rFonts w:ascii="Times New Roman" w:hAnsi="Times New Roman" w:cs="Times New Roman"/>
          <w:color w:val="auto"/>
          <w:sz w:val="32"/>
          <w:szCs w:val="32"/>
          <w:highlight w:val="none"/>
        </w:rPr>
      </w:pPr>
      <w:r>
        <w:rPr>
          <w:rFonts w:ascii="Times New Roman" w:hAnsi="Times New Roman" w:cs="Times New Roman"/>
          <w:color w:val="auto"/>
          <w:sz w:val="32"/>
          <w:szCs w:val="32"/>
          <w:highlight w:val="none"/>
        </w:rPr>
        <w:t>20</w:t>
      </w:r>
      <w:r>
        <w:rPr>
          <w:rFonts w:hint="eastAsia" w:ascii="Times New Roman" w:hAnsi="Times New Roman" w:cs="Times New Roman"/>
          <w:color w:val="auto"/>
          <w:sz w:val="32"/>
          <w:szCs w:val="32"/>
          <w:highlight w:val="none"/>
        </w:rPr>
        <w:t>2</w:t>
      </w:r>
      <w:r>
        <w:rPr>
          <w:rFonts w:hint="eastAsia" w:ascii="Times New Roman" w:hAnsi="Times New Roman" w:cs="Times New Roman"/>
          <w:color w:val="auto"/>
          <w:sz w:val="32"/>
          <w:szCs w:val="32"/>
          <w:highlight w:val="none"/>
          <w:lang w:val="en-US" w:eastAsia="zh-CN"/>
        </w:rPr>
        <w:t>2</w:t>
      </w:r>
      <w:r>
        <w:rPr>
          <w:rFonts w:ascii="Times New Roman" w:hAnsi="Times New Roman" w:cs="Times New Roman"/>
          <w:color w:val="auto"/>
          <w:sz w:val="32"/>
          <w:szCs w:val="32"/>
          <w:highlight w:val="none"/>
        </w:rPr>
        <w:t>年</w:t>
      </w:r>
      <w:r>
        <w:rPr>
          <w:rFonts w:hint="eastAsia" w:ascii="Times New Roman" w:hAnsi="Times New Roman" w:cs="Times New Roman"/>
          <w:color w:val="auto"/>
          <w:sz w:val="32"/>
          <w:szCs w:val="32"/>
          <w:highlight w:val="none"/>
          <w:lang w:val="en-US" w:eastAsia="zh-CN"/>
        </w:rPr>
        <w:t>02</w:t>
      </w:r>
      <w:r>
        <w:rPr>
          <w:rFonts w:ascii="Times New Roman" w:hAnsi="Times New Roman" w:cs="Times New Roman"/>
          <w:color w:val="auto"/>
          <w:sz w:val="32"/>
          <w:szCs w:val="32"/>
          <w:highlight w:val="none"/>
        </w:rPr>
        <w:t>月</w:t>
      </w:r>
    </w:p>
    <w:p>
      <w:pPr>
        <w:spacing w:line="360" w:lineRule="auto"/>
        <w:jc w:val="center"/>
        <w:rPr>
          <w:rFonts w:ascii="Times New Roman" w:hAnsi="Times New Roman" w:cs="Times New Roman"/>
          <w:b/>
          <w:bCs/>
          <w:color w:val="auto"/>
          <w:sz w:val="30"/>
          <w:szCs w:val="30"/>
          <w:highlight w:val="none"/>
        </w:rPr>
        <w:sectPr>
          <w:headerReference r:id="rId3" w:type="default"/>
          <w:pgSz w:w="11906" w:h="16838"/>
          <w:pgMar w:top="1440" w:right="1803" w:bottom="1440" w:left="1803" w:header="680" w:footer="992" w:gutter="0"/>
          <w:pgBorders>
            <w:top w:val="none" w:sz="0" w:space="0"/>
            <w:left w:val="none" w:sz="0" w:space="0"/>
            <w:bottom w:val="none" w:sz="0" w:space="0"/>
            <w:right w:val="none" w:sz="0" w:space="0"/>
          </w:pgBorders>
          <w:cols w:space="0" w:num="1"/>
          <w:docGrid w:type="lines" w:linePitch="312" w:charSpace="0"/>
        </w:sectPr>
      </w:pPr>
    </w:p>
    <w:p>
      <w:pPr>
        <w:pStyle w:val="34"/>
        <w:spacing w:line="360" w:lineRule="auto"/>
        <w:jc w:val="center"/>
        <w:rPr>
          <w:rFonts w:ascii="Times New Roman" w:hAnsi="Times New Roman" w:cs="Times New Roman" w:eastAsiaTheme="minorEastAsia"/>
          <w:b w:val="0"/>
          <w:bCs w:val="0"/>
          <w:color w:val="auto"/>
          <w:kern w:val="2"/>
          <w:sz w:val="21"/>
          <w:szCs w:val="22"/>
          <w:highlight w:val="none"/>
          <w:lang w:val="zh-CN"/>
        </w:rPr>
      </w:pPr>
      <w:r>
        <w:rPr>
          <w:rFonts w:ascii="Times New Roman" w:hAnsi="Times New Roman" w:cs="Times New Roman" w:eastAsiaTheme="minorEastAsia"/>
          <w:color w:val="auto"/>
          <w:highlight w:val="none"/>
          <w:lang w:val="zh-CN"/>
        </w:rPr>
        <w:t>目录</w:t>
      </w:r>
    </w:p>
    <w:p>
      <w:pPr>
        <w:pStyle w:val="16"/>
        <w:tabs>
          <w:tab w:val="right" w:leader="dot" w:pos="8300"/>
        </w:tabs>
      </w:pPr>
      <w:r>
        <w:rPr>
          <w:rFonts w:ascii="Times New Roman" w:hAnsi="Times New Roman" w:cs="Times New Roman"/>
          <w:color w:val="auto"/>
          <w:sz w:val="24"/>
          <w:szCs w:val="24"/>
          <w:highlight w:val="none"/>
        </w:rPr>
        <w:fldChar w:fldCharType="begin"/>
      </w:r>
      <w:r>
        <w:rPr>
          <w:rFonts w:ascii="Times New Roman" w:hAnsi="Times New Roman" w:cs="Times New Roman"/>
          <w:color w:val="auto"/>
          <w:sz w:val="24"/>
          <w:szCs w:val="24"/>
          <w:highlight w:val="none"/>
        </w:rPr>
        <w:instrText xml:space="preserve"> TOC \o "1-3" \h \z \u </w:instrText>
      </w:r>
      <w:r>
        <w:rPr>
          <w:rFonts w:ascii="Times New Roman" w:hAnsi="Times New Roman" w:cs="Times New Roman"/>
          <w:color w:val="auto"/>
          <w:sz w:val="24"/>
          <w:szCs w:val="24"/>
          <w:highlight w:val="none"/>
        </w:rPr>
        <w:fldChar w:fldCharType="separate"/>
      </w: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_Toc19921 </w:instrText>
      </w:r>
      <w:r>
        <w:rPr>
          <w:rFonts w:ascii="Times New Roman" w:hAnsi="Times New Roman" w:cs="Times New Roman"/>
          <w:szCs w:val="24"/>
          <w:highlight w:val="none"/>
        </w:rPr>
        <w:fldChar w:fldCharType="separate"/>
      </w:r>
      <w:r>
        <w:rPr>
          <w:rFonts w:ascii="Times New Roman" w:hAnsi="Times New Roman" w:cs="Times New Roman"/>
          <w:szCs w:val="28"/>
          <w:highlight w:val="none"/>
        </w:rPr>
        <w:t>1、验收项目概况</w:t>
      </w:r>
      <w:r>
        <w:tab/>
      </w:r>
      <w:r>
        <w:fldChar w:fldCharType="begin"/>
      </w:r>
      <w:r>
        <w:instrText xml:space="preserve"> PAGEREF _Toc19921 \h </w:instrText>
      </w:r>
      <w:r>
        <w:fldChar w:fldCharType="separate"/>
      </w:r>
      <w:r>
        <w:t>1</w:t>
      </w:r>
      <w:r>
        <w:fldChar w:fldCharType="end"/>
      </w:r>
      <w:r>
        <w:rPr>
          <w:rFonts w:ascii="Times New Roman" w:hAnsi="Times New Roman" w:cs="Times New Roman"/>
          <w:color w:val="auto"/>
          <w:szCs w:val="24"/>
          <w:highlight w:val="none"/>
        </w:rPr>
        <w:fldChar w:fldCharType="end"/>
      </w:r>
    </w:p>
    <w:p>
      <w:pPr>
        <w:pStyle w:val="16"/>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_Toc28335 </w:instrText>
      </w:r>
      <w:r>
        <w:rPr>
          <w:rFonts w:ascii="Times New Roman" w:hAnsi="Times New Roman" w:cs="Times New Roman"/>
          <w:szCs w:val="24"/>
          <w:highlight w:val="none"/>
        </w:rPr>
        <w:fldChar w:fldCharType="separate"/>
      </w:r>
      <w:r>
        <w:rPr>
          <w:rFonts w:ascii="Times New Roman" w:hAnsi="Times New Roman" w:cs="Times New Roman"/>
          <w:szCs w:val="28"/>
        </w:rPr>
        <w:t xml:space="preserve">2、 </w:t>
      </w:r>
      <w:r>
        <w:rPr>
          <w:rFonts w:ascii="Times New Roman" w:hAnsi="Times New Roman" w:cs="Times New Roman"/>
          <w:szCs w:val="28"/>
          <w:highlight w:val="none"/>
        </w:rPr>
        <w:t>验收依据</w:t>
      </w:r>
      <w:r>
        <w:tab/>
      </w:r>
      <w:r>
        <w:fldChar w:fldCharType="begin"/>
      </w:r>
      <w:r>
        <w:instrText xml:space="preserve"> PAGEREF _Toc28335 \h </w:instrText>
      </w:r>
      <w:r>
        <w:fldChar w:fldCharType="separate"/>
      </w:r>
      <w:r>
        <w:t>2</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_Toc15673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2.1</w:t>
      </w:r>
      <w:r>
        <w:rPr>
          <w:rFonts w:ascii="Times New Roman" w:hAnsi="Times New Roman" w:cs="Times New Roman" w:eastAsiaTheme="minorEastAsia"/>
          <w:bCs w:val="0"/>
          <w:szCs w:val="24"/>
          <w:highlight w:val="none"/>
        </w:rPr>
        <w:t>建设项目环境保护相关法律、法规、规章和规范</w:t>
      </w:r>
      <w:r>
        <w:tab/>
      </w:r>
      <w:r>
        <w:fldChar w:fldCharType="begin"/>
      </w:r>
      <w:r>
        <w:instrText xml:space="preserve"> PAGEREF _Toc15673 \h </w:instrText>
      </w:r>
      <w:r>
        <w:fldChar w:fldCharType="separate"/>
      </w:r>
      <w:r>
        <w:t>2</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_Toc24028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2.2</w:t>
      </w:r>
      <w:r>
        <w:rPr>
          <w:rFonts w:ascii="Times New Roman" w:hAnsi="Times New Roman" w:cs="Times New Roman" w:eastAsiaTheme="minorEastAsia"/>
          <w:bCs w:val="0"/>
          <w:szCs w:val="24"/>
          <w:highlight w:val="none"/>
        </w:rPr>
        <w:t>建设项目竣工环境保护技术规范</w:t>
      </w:r>
      <w:r>
        <w:tab/>
      </w:r>
      <w:r>
        <w:fldChar w:fldCharType="begin"/>
      </w:r>
      <w:r>
        <w:instrText xml:space="preserve"> PAGEREF _Toc24028 \h </w:instrText>
      </w:r>
      <w:r>
        <w:fldChar w:fldCharType="separate"/>
      </w:r>
      <w:r>
        <w:t>2</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_Toc14361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2.3建设项目环境影响报告书（表）及审批部门审批决定</w:t>
      </w:r>
      <w:r>
        <w:tab/>
      </w:r>
      <w:r>
        <w:fldChar w:fldCharType="begin"/>
      </w:r>
      <w:r>
        <w:instrText xml:space="preserve"> PAGEREF _Toc14361 \h </w:instrText>
      </w:r>
      <w:r>
        <w:fldChar w:fldCharType="separate"/>
      </w:r>
      <w:r>
        <w:t>2</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_Toc4641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2.4其他相关文件</w:t>
      </w:r>
      <w:r>
        <w:tab/>
      </w:r>
      <w:r>
        <w:fldChar w:fldCharType="begin"/>
      </w:r>
      <w:r>
        <w:instrText xml:space="preserve"> PAGEREF _Toc4641 \h </w:instrText>
      </w:r>
      <w:r>
        <w:fldChar w:fldCharType="separate"/>
      </w:r>
      <w:r>
        <w:t>2</w:t>
      </w:r>
      <w:r>
        <w:fldChar w:fldCharType="end"/>
      </w:r>
      <w:r>
        <w:rPr>
          <w:rFonts w:ascii="Times New Roman" w:hAnsi="Times New Roman" w:cs="Times New Roman"/>
          <w:color w:val="auto"/>
          <w:szCs w:val="24"/>
          <w:highlight w:val="none"/>
        </w:rPr>
        <w:fldChar w:fldCharType="end"/>
      </w:r>
    </w:p>
    <w:p>
      <w:pPr>
        <w:pStyle w:val="16"/>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_Toc12859 </w:instrText>
      </w:r>
      <w:r>
        <w:rPr>
          <w:rFonts w:ascii="Times New Roman" w:hAnsi="Times New Roman" w:cs="Times New Roman"/>
          <w:szCs w:val="24"/>
          <w:highlight w:val="none"/>
        </w:rPr>
        <w:fldChar w:fldCharType="separate"/>
      </w:r>
      <w:r>
        <w:rPr>
          <w:rFonts w:ascii="Times New Roman" w:hAnsi="Times New Roman" w:cs="Times New Roman"/>
          <w:szCs w:val="28"/>
          <w:highlight w:val="none"/>
        </w:rPr>
        <w:t>3、工程建设情况</w:t>
      </w:r>
      <w:r>
        <w:tab/>
      </w:r>
      <w:r>
        <w:fldChar w:fldCharType="begin"/>
      </w:r>
      <w:r>
        <w:instrText xml:space="preserve"> PAGEREF _Toc12859 \h </w:instrText>
      </w:r>
      <w:r>
        <w:fldChar w:fldCharType="separate"/>
      </w:r>
      <w:r>
        <w:t>3</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_Toc19977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3.1地理位置及平面布置图</w:t>
      </w:r>
      <w:r>
        <w:tab/>
      </w:r>
      <w:r>
        <w:fldChar w:fldCharType="begin"/>
      </w:r>
      <w:r>
        <w:instrText xml:space="preserve"> PAGEREF _Toc19977 \h </w:instrText>
      </w:r>
      <w:r>
        <w:fldChar w:fldCharType="separate"/>
      </w:r>
      <w:r>
        <w:t>3</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_Toc12864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3.2建设内容</w:t>
      </w:r>
      <w:r>
        <w:tab/>
      </w:r>
      <w:r>
        <w:fldChar w:fldCharType="begin"/>
      </w:r>
      <w:r>
        <w:instrText xml:space="preserve"> PAGEREF _Toc12864 \h </w:instrText>
      </w:r>
      <w:r>
        <w:fldChar w:fldCharType="separate"/>
      </w:r>
      <w:r>
        <w:t>5</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_Toc6886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3.3主要原辅材料及燃料</w:t>
      </w:r>
      <w:r>
        <w:tab/>
      </w:r>
      <w:r>
        <w:fldChar w:fldCharType="begin"/>
      </w:r>
      <w:r>
        <w:instrText xml:space="preserve"> PAGEREF _Toc6886 \h </w:instrText>
      </w:r>
      <w:r>
        <w:fldChar w:fldCharType="separate"/>
      </w:r>
      <w:r>
        <w:t>7</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_Toc11391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3.4水源及水平衡</w:t>
      </w:r>
      <w:r>
        <w:tab/>
      </w:r>
      <w:r>
        <w:fldChar w:fldCharType="begin"/>
      </w:r>
      <w:r>
        <w:instrText xml:space="preserve"> PAGEREF _Toc11391 \h </w:instrText>
      </w:r>
      <w:r>
        <w:fldChar w:fldCharType="separate"/>
      </w:r>
      <w:r>
        <w:t>7</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_Toc12993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3.5 生产工艺</w:t>
      </w:r>
      <w:r>
        <w:tab/>
      </w:r>
      <w:r>
        <w:fldChar w:fldCharType="begin"/>
      </w:r>
      <w:r>
        <w:instrText xml:space="preserve"> PAGEREF _Toc12993 \h </w:instrText>
      </w:r>
      <w:r>
        <w:fldChar w:fldCharType="separate"/>
      </w:r>
      <w:r>
        <w:t>7</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_Toc21957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3.6 项目变动情况</w:t>
      </w:r>
      <w:r>
        <w:tab/>
      </w:r>
      <w:r>
        <w:fldChar w:fldCharType="begin"/>
      </w:r>
      <w:r>
        <w:instrText xml:space="preserve"> PAGEREF _Toc21957 \h </w:instrText>
      </w:r>
      <w:r>
        <w:fldChar w:fldCharType="separate"/>
      </w:r>
      <w:r>
        <w:t>15</w:t>
      </w:r>
      <w:r>
        <w:fldChar w:fldCharType="end"/>
      </w:r>
      <w:r>
        <w:rPr>
          <w:rFonts w:ascii="Times New Roman" w:hAnsi="Times New Roman" w:cs="Times New Roman"/>
          <w:color w:val="auto"/>
          <w:szCs w:val="24"/>
          <w:highlight w:val="none"/>
        </w:rPr>
        <w:fldChar w:fldCharType="end"/>
      </w:r>
    </w:p>
    <w:p>
      <w:pPr>
        <w:pStyle w:val="16"/>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_Toc22159 </w:instrText>
      </w:r>
      <w:r>
        <w:rPr>
          <w:rFonts w:ascii="Times New Roman" w:hAnsi="Times New Roman" w:cs="Times New Roman"/>
          <w:szCs w:val="24"/>
          <w:highlight w:val="none"/>
        </w:rPr>
        <w:fldChar w:fldCharType="separate"/>
      </w:r>
      <w:r>
        <w:rPr>
          <w:rFonts w:ascii="Times New Roman" w:hAnsi="Times New Roman" w:cs="Times New Roman"/>
          <w:szCs w:val="28"/>
          <w:highlight w:val="none"/>
        </w:rPr>
        <w:t>4、环境保护设施</w:t>
      </w:r>
      <w:r>
        <w:tab/>
      </w:r>
      <w:r>
        <w:fldChar w:fldCharType="begin"/>
      </w:r>
      <w:r>
        <w:instrText xml:space="preserve"> PAGEREF _Toc22159 \h </w:instrText>
      </w:r>
      <w:r>
        <w:fldChar w:fldCharType="separate"/>
      </w:r>
      <w:r>
        <w:t>16</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_Toc13600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4.1污染物治理/处置设施</w:t>
      </w:r>
      <w:r>
        <w:tab/>
      </w:r>
      <w:r>
        <w:fldChar w:fldCharType="begin"/>
      </w:r>
      <w:r>
        <w:instrText xml:space="preserve"> PAGEREF _Toc13600 \h </w:instrText>
      </w:r>
      <w:r>
        <w:fldChar w:fldCharType="separate"/>
      </w:r>
      <w:r>
        <w:t>16</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_Toc23369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4.2环保设施投资及三同时落实情况</w:t>
      </w:r>
      <w:r>
        <w:tab/>
      </w:r>
      <w:r>
        <w:fldChar w:fldCharType="begin"/>
      </w:r>
      <w:r>
        <w:instrText xml:space="preserve"> PAGEREF _Toc23369 \h </w:instrText>
      </w:r>
      <w:r>
        <w:fldChar w:fldCharType="separate"/>
      </w:r>
      <w:r>
        <w:t>19</w:t>
      </w:r>
      <w:r>
        <w:fldChar w:fldCharType="end"/>
      </w:r>
      <w:r>
        <w:rPr>
          <w:rFonts w:ascii="Times New Roman" w:hAnsi="Times New Roman" w:cs="Times New Roman"/>
          <w:color w:val="auto"/>
          <w:szCs w:val="24"/>
          <w:highlight w:val="none"/>
        </w:rPr>
        <w:fldChar w:fldCharType="end"/>
      </w:r>
    </w:p>
    <w:p>
      <w:pPr>
        <w:pStyle w:val="16"/>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_Toc13611 </w:instrText>
      </w:r>
      <w:r>
        <w:rPr>
          <w:rFonts w:ascii="Times New Roman" w:hAnsi="Times New Roman" w:cs="Times New Roman"/>
          <w:szCs w:val="24"/>
          <w:highlight w:val="none"/>
        </w:rPr>
        <w:fldChar w:fldCharType="separate"/>
      </w:r>
      <w:r>
        <w:rPr>
          <w:rFonts w:ascii="Times New Roman" w:hAnsi="Times New Roman" w:cs="Times New Roman"/>
          <w:szCs w:val="28"/>
          <w:highlight w:val="none"/>
        </w:rPr>
        <w:t>5、建设项目环评报告</w:t>
      </w:r>
      <w:r>
        <w:rPr>
          <w:rFonts w:hint="eastAsia" w:ascii="Times New Roman" w:hAnsi="Times New Roman" w:cs="Times New Roman"/>
          <w:szCs w:val="28"/>
          <w:highlight w:val="none"/>
          <w:lang w:eastAsia="zh-CN"/>
        </w:rPr>
        <w:t>书</w:t>
      </w:r>
      <w:r>
        <w:rPr>
          <w:rFonts w:ascii="Times New Roman" w:hAnsi="Times New Roman" w:cs="Times New Roman"/>
          <w:szCs w:val="28"/>
          <w:highlight w:val="none"/>
        </w:rPr>
        <w:t>的主要结论与建议及审批部门审批决定</w:t>
      </w:r>
      <w:r>
        <w:tab/>
      </w:r>
      <w:r>
        <w:fldChar w:fldCharType="begin"/>
      </w:r>
      <w:r>
        <w:instrText xml:space="preserve"> PAGEREF _Toc13611 \h </w:instrText>
      </w:r>
      <w:r>
        <w:fldChar w:fldCharType="separate"/>
      </w:r>
      <w:r>
        <w:t>21</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_Toc19615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5.1建设项目现状环评报告</w:t>
      </w:r>
      <w:r>
        <w:rPr>
          <w:rFonts w:hint="eastAsia" w:ascii="Times New Roman" w:hAnsi="Times New Roman" w:cs="Times New Roman" w:eastAsiaTheme="minorEastAsia"/>
          <w:szCs w:val="24"/>
          <w:highlight w:val="none"/>
          <w:lang w:eastAsia="zh-CN"/>
        </w:rPr>
        <w:t>书</w:t>
      </w:r>
      <w:r>
        <w:rPr>
          <w:rFonts w:ascii="Times New Roman" w:hAnsi="Times New Roman" w:cs="Times New Roman" w:eastAsiaTheme="minorEastAsia"/>
          <w:szCs w:val="24"/>
          <w:highlight w:val="none"/>
        </w:rPr>
        <w:t>的主要结论与建议</w:t>
      </w:r>
      <w:r>
        <w:tab/>
      </w:r>
      <w:r>
        <w:fldChar w:fldCharType="begin"/>
      </w:r>
      <w:r>
        <w:instrText xml:space="preserve"> PAGEREF _Toc19615 \h </w:instrText>
      </w:r>
      <w:r>
        <w:fldChar w:fldCharType="separate"/>
      </w:r>
      <w:r>
        <w:t>21</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_Toc14439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5.2审批部门审批决定</w:t>
      </w:r>
      <w:r>
        <w:tab/>
      </w:r>
      <w:r>
        <w:fldChar w:fldCharType="begin"/>
      </w:r>
      <w:r>
        <w:instrText xml:space="preserve"> PAGEREF _Toc14439 \h </w:instrText>
      </w:r>
      <w:r>
        <w:fldChar w:fldCharType="separate"/>
      </w:r>
      <w:r>
        <w:t>21</w:t>
      </w:r>
      <w:r>
        <w:fldChar w:fldCharType="end"/>
      </w:r>
      <w:r>
        <w:rPr>
          <w:rFonts w:ascii="Times New Roman" w:hAnsi="Times New Roman" w:cs="Times New Roman"/>
          <w:color w:val="auto"/>
          <w:szCs w:val="24"/>
          <w:highlight w:val="none"/>
        </w:rPr>
        <w:fldChar w:fldCharType="end"/>
      </w:r>
    </w:p>
    <w:p>
      <w:pPr>
        <w:pStyle w:val="16"/>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_Toc14935 </w:instrText>
      </w:r>
      <w:r>
        <w:rPr>
          <w:rFonts w:ascii="Times New Roman" w:hAnsi="Times New Roman" w:cs="Times New Roman"/>
          <w:szCs w:val="24"/>
          <w:highlight w:val="none"/>
        </w:rPr>
        <w:fldChar w:fldCharType="separate"/>
      </w:r>
      <w:r>
        <w:rPr>
          <w:rFonts w:ascii="Times New Roman" w:hAnsi="Times New Roman" w:cs="Times New Roman"/>
          <w:szCs w:val="28"/>
          <w:highlight w:val="none"/>
        </w:rPr>
        <w:t>6、验收执行标准</w:t>
      </w:r>
      <w:r>
        <w:tab/>
      </w:r>
      <w:r>
        <w:fldChar w:fldCharType="begin"/>
      </w:r>
      <w:r>
        <w:instrText xml:space="preserve"> PAGEREF _Toc14935 \h </w:instrText>
      </w:r>
      <w:r>
        <w:fldChar w:fldCharType="separate"/>
      </w:r>
      <w:r>
        <w:t>22</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_Toc4514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6.1废气执行标准</w:t>
      </w:r>
      <w:r>
        <w:tab/>
      </w:r>
      <w:r>
        <w:fldChar w:fldCharType="begin"/>
      </w:r>
      <w:r>
        <w:instrText xml:space="preserve"> PAGEREF _Toc4514 \h </w:instrText>
      </w:r>
      <w:r>
        <w:fldChar w:fldCharType="separate"/>
      </w:r>
      <w:r>
        <w:t>22</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_Toc11676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6.</w:t>
      </w:r>
      <w:r>
        <w:rPr>
          <w:rFonts w:hint="eastAsia" w:ascii="Times New Roman" w:hAnsi="Times New Roman" w:cs="Times New Roman" w:eastAsiaTheme="minorEastAsia"/>
          <w:szCs w:val="24"/>
          <w:highlight w:val="none"/>
        </w:rPr>
        <w:t>2废水</w:t>
      </w:r>
      <w:r>
        <w:rPr>
          <w:rFonts w:ascii="Times New Roman" w:hAnsi="Times New Roman" w:cs="Times New Roman" w:eastAsiaTheme="minorEastAsia"/>
          <w:szCs w:val="24"/>
          <w:highlight w:val="none"/>
        </w:rPr>
        <w:t>执行标准</w:t>
      </w:r>
      <w:r>
        <w:tab/>
      </w:r>
      <w:r>
        <w:fldChar w:fldCharType="begin"/>
      </w:r>
      <w:r>
        <w:instrText xml:space="preserve"> PAGEREF _Toc11676 \h </w:instrText>
      </w:r>
      <w:r>
        <w:fldChar w:fldCharType="separate"/>
      </w:r>
      <w:r>
        <w:t>22</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_Toc2190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6.</w:t>
      </w:r>
      <w:r>
        <w:rPr>
          <w:rFonts w:hint="eastAsia" w:ascii="Times New Roman" w:hAnsi="Times New Roman" w:cs="Times New Roman" w:eastAsiaTheme="minorEastAsia"/>
          <w:szCs w:val="24"/>
          <w:highlight w:val="none"/>
        </w:rPr>
        <w:t>3</w:t>
      </w:r>
      <w:r>
        <w:rPr>
          <w:rFonts w:ascii="Times New Roman" w:hAnsi="Times New Roman" w:cs="Times New Roman" w:eastAsiaTheme="minorEastAsia"/>
          <w:szCs w:val="24"/>
          <w:highlight w:val="none"/>
        </w:rPr>
        <w:t>噪声执行标准</w:t>
      </w:r>
      <w:r>
        <w:tab/>
      </w:r>
      <w:r>
        <w:fldChar w:fldCharType="begin"/>
      </w:r>
      <w:r>
        <w:instrText xml:space="preserve"> PAGEREF _Toc2190 \h </w:instrText>
      </w:r>
      <w:r>
        <w:fldChar w:fldCharType="separate"/>
      </w:r>
      <w:r>
        <w:t>23</w:t>
      </w:r>
      <w:r>
        <w:fldChar w:fldCharType="end"/>
      </w:r>
      <w:r>
        <w:rPr>
          <w:rFonts w:ascii="Times New Roman" w:hAnsi="Times New Roman" w:cs="Times New Roman"/>
          <w:color w:val="auto"/>
          <w:szCs w:val="24"/>
          <w:highlight w:val="none"/>
        </w:rPr>
        <w:fldChar w:fldCharType="end"/>
      </w:r>
    </w:p>
    <w:p>
      <w:pPr>
        <w:pStyle w:val="16"/>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_Toc28103 </w:instrText>
      </w:r>
      <w:r>
        <w:rPr>
          <w:rFonts w:ascii="Times New Roman" w:hAnsi="Times New Roman" w:cs="Times New Roman"/>
          <w:szCs w:val="24"/>
          <w:highlight w:val="none"/>
        </w:rPr>
        <w:fldChar w:fldCharType="separate"/>
      </w:r>
      <w:r>
        <w:rPr>
          <w:rFonts w:ascii="Times New Roman" w:hAnsi="Times New Roman" w:cs="Times New Roman"/>
          <w:szCs w:val="28"/>
        </w:rPr>
        <w:t xml:space="preserve">7、 </w:t>
      </w:r>
      <w:r>
        <w:rPr>
          <w:rFonts w:ascii="Times New Roman" w:hAnsi="Times New Roman" w:cs="Times New Roman"/>
          <w:szCs w:val="28"/>
          <w:highlight w:val="none"/>
        </w:rPr>
        <w:t>验收监测内容</w:t>
      </w:r>
      <w:r>
        <w:tab/>
      </w:r>
      <w:r>
        <w:fldChar w:fldCharType="begin"/>
      </w:r>
      <w:r>
        <w:instrText xml:space="preserve"> PAGEREF _Toc28103 \h </w:instrText>
      </w:r>
      <w:r>
        <w:fldChar w:fldCharType="separate"/>
      </w:r>
      <w:r>
        <w:t>24</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_Toc5091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7.</w:t>
      </w:r>
      <w:r>
        <w:rPr>
          <w:rFonts w:hint="eastAsia" w:ascii="Times New Roman" w:hAnsi="Times New Roman" w:cs="Times New Roman" w:eastAsiaTheme="minorEastAsia"/>
          <w:szCs w:val="24"/>
          <w:highlight w:val="none"/>
        </w:rPr>
        <w:t>1</w:t>
      </w:r>
      <w:r>
        <w:rPr>
          <w:rFonts w:ascii="Times New Roman" w:hAnsi="Times New Roman" w:cs="Times New Roman" w:eastAsiaTheme="minorEastAsia"/>
          <w:szCs w:val="24"/>
          <w:highlight w:val="none"/>
        </w:rPr>
        <w:t>废气</w:t>
      </w:r>
      <w:r>
        <w:tab/>
      </w:r>
      <w:r>
        <w:fldChar w:fldCharType="begin"/>
      </w:r>
      <w:r>
        <w:instrText xml:space="preserve"> PAGEREF _Toc5091 \h </w:instrText>
      </w:r>
      <w:r>
        <w:fldChar w:fldCharType="separate"/>
      </w:r>
      <w:r>
        <w:t>24</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_Toc14438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7.</w:t>
      </w:r>
      <w:r>
        <w:rPr>
          <w:rFonts w:hint="eastAsia" w:ascii="Times New Roman" w:hAnsi="Times New Roman" w:cs="Times New Roman" w:eastAsiaTheme="minorEastAsia"/>
          <w:szCs w:val="24"/>
          <w:highlight w:val="none"/>
        </w:rPr>
        <w:t>2废水</w:t>
      </w:r>
      <w:r>
        <w:tab/>
      </w:r>
      <w:r>
        <w:fldChar w:fldCharType="begin"/>
      </w:r>
      <w:r>
        <w:instrText xml:space="preserve"> PAGEREF _Toc14438 \h </w:instrText>
      </w:r>
      <w:r>
        <w:fldChar w:fldCharType="separate"/>
      </w:r>
      <w:r>
        <w:t>24</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_Toc32201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7.</w:t>
      </w:r>
      <w:r>
        <w:rPr>
          <w:rFonts w:hint="eastAsia" w:ascii="Times New Roman" w:hAnsi="Times New Roman" w:cs="Times New Roman" w:eastAsiaTheme="minorEastAsia"/>
          <w:szCs w:val="24"/>
          <w:highlight w:val="none"/>
        </w:rPr>
        <w:t>3</w:t>
      </w:r>
      <w:r>
        <w:rPr>
          <w:rFonts w:ascii="Times New Roman" w:hAnsi="Times New Roman" w:cs="Times New Roman" w:eastAsiaTheme="minorEastAsia"/>
          <w:szCs w:val="24"/>
          <w:highlight w:val="none"/>
        </w:rPr>
        <w:t>厂界噪声监测</w:t>
      </w:r>
      <w:r>
        <w:tab/>
      </w:r>
      <w:r>
        <w:fldChar w:fldCharType="begin"/>
      </w:r>
      <w:r>
        <w:instrText xml:space="preserve"> PAGEREF _Toc32201 \h </w:instrText>
      </w:r>
      <w:r>
        <w:fldChar w:fldCharType="separate"/>
      </w:r>
      <w:r>
        <w:t>24</w:t>
      </w:r>
      <w:r>
        <w:fldChar w:fldCharType="end"/>
      </w:r>
      <w:r>
        <w:rPr>
          <w:rFonts w:ascii="Times New Roman" w:hAnsi="Times New Roman" w:cs="Times New Roman"/>
          <w:color w:val="auto"/>
          <w:szCs w:val="24"/>
          <w:highlight w:val="none"/>
        </w:rPr>
        <w:fldChar w:fldCharType="end"/>
      </w:r>
    </w:p>
    <w:p>
      <w:pPr>
        <w:pStyle w:val="16"/>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_Toc28303 </w:instrText>
      </w:r>
      <w:r>
        <w:rPr>
          <w:rFonts w:ascii="Times New Roman" w:hAnsi="Times New Roman" w:cs="Times New Roman"/>
          <w:szCs w:val="24"/>
          <w:highlight w:val="none"/>
        </w:rPr>
        <w:fldChar w:fldCharType="separate"/>
      </w:r>
      <w:r>
        <w:rPr>
          <w:rFonts w:ascii="Times New Roman" w:hAnsi="Times New Roman" w:cs="Times New Roman"/>
          <w:szCs w:val="28"/>
          <w:highlight w:val="none"/>
        </w:rPr>
        <w:t>8、质量保证及质量控制</w:t>
      </w:r>
      <w:r>
        <w:tab/>
      </w:r>
      <w:r>
        <w:fldChar w:fldCharType="begin"/>
      </w:r>
      <w:r>
        <w:instrText xml:space="preserve"> PAGEREF _Toc28303 \h </w:instrText>
      </w:r>
      <w:r>
        <w:fldChar w:fldCharType="separate"/>
      </w:r>
      <w:r>
        <w:t>25</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_Toc3164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8.1监测分析方法</w:t>
      </w:r>
      <w:r>
        <w:tab/>
      </w:r>
      <w:r>
        <w:fldChar w:fldCharType="begin"/>
      </w:r>
      <w:r>
        <w:instrText xml:space="preserve"> PAGEREF _Toc3164 \h </w:instrText>
      </w:r>
      <w:r>
        <w:fldChar w:fldCharType="separate"/>
      </w:r>
      <w:r>
        <w:t>25</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_Toc2503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8.2监测仪器</w:t>
      </w:r>
      <w:r>
        <w:tab/>
      </w:r>
      <w:r>
        <w:fldChar w:fldCharType="begin"/>
      </w:r>
      <w:r>
        <w:instrText xml:space="preserve"> PAGEREF _Toc2503 \h </w:instrText>
      </w:r>
      <w:r>
        <w:fldChar w:fldCharType="separate"/>
      </w:r>
      <w:r>
        <w:t>25</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_Toc22407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8.3人员资质</w:t>
      </w:r>
      <w:r>
        <w:tab/>
      </w:r>
      <w:r>
        <w:fldChar w:fldCharType="begin"/>
      </w:r>
      <w:r>
        <w:instrText xml:space="preserve"> PAGEREF _Toc22407 \h </w:instrText>
      </w:r>
      <w:r>
        <w:fldChar w:fldCharType="separate"/>
      </w:r>
      <w:r>
        <w:t>26</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_Toc31989 </w:instrText>
      </w:r>
      <w:r>
        <w:rPr>
          <w:rFonts w:ascii="Times New Roman" w:hAnsi="Times New Roman" w:cs="Times New Roman"/>
          <w:szCs w:val="24"/>
          <w:highlight w:val="none"/>
        </w:rPr>
        <w:fldChar w:fldCharType="separate"/>
      </w:r>
      <w:r>
        <w:rPr>
          <w:rFonts w:hint="eastAsia" w:ascii="Times New Roman" w:hAnsi="Times New Roman" w:cs="Times New Roman" w:eastAsiaTheme="minorEastAsia"/>
          <w:szCs w:val="24"/>
          <w:highlight w:val="none"/>
        </w:rPr>
        <w:t>8.4</w:t>
      </w:r>
      <w:r>
        <w:rPr>
          <w:rFonts w:ascii="Times New Roman" w:hAnsi="Times New Roman" w:cs="Times New Roman" w:eastAsiaTheme="minorEastAsia"/>
          <w:szCs w:val="24"/>
          <w:highlight w:val="none"/>
        </w:rPr>
        <w:t>水质监测分析过程中的质量保证和质量控制</w:t>
      </w:r>
      <w:r>
        <w:tab/>
      </w:r>
      <w:r>
        <w:fldChar w:fldCharType="begin"/>
      </w:r>
      <w:r>
        <w:instrText xml:space="preserve"> PAGEREF _Toc31989 \h </w:instrText>
      </w:r>
      <w:r>
        <w:fldChar w:fldCharType="separate"/>
      </w:r>
      <w:r>
        <w:t>26</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_Toc32397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8.</w:t>
      </w:r>
      <w:r>
        <w:rPr>
          <w:rFonts w:hint="eastAsia" w:ascii="Times New Roman" w:hAnsi="Times New Roman" w:cs="Times New Roman" w:eastAsiaTheme="minorEastAsia"/>
          <w:szCs w:val="24"/>
          <w:highlight w:val="none"/>
        </w:rPr>
        <w:t>5</w:t>
      </w:r>
      <w:r>
        <w:rPr>
          <w:rFonts w:ascii="Times New Roman" w:hAnsi="Times New Roman" w:cs="Times New Roman" w:eastAsiaTheme="minorEastAsia"/>
          <w:szCs w:val="24"/>
          <w:highlight w:val="none"/>
        </w:rPr>
        <w:t>气体监测分析过程中的质量保证和质量控制</w:t>
      </w:r>
      <w:r>
        <w:tab/>
      </w:r>
      <w:r>
        <w:fldChar w:fldCharType="begin"/>
      </w:r>
      <w:r>
        <w:instrText xml:space="preserve"> PAGEREF _Toc32397 \h </w:instrText>
      </w:r>
      <w:r>
        <w:fldChar w:fldCharType="separate"/>
      </w:r>
      <w:r>
        <w:t>27</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_Toc2634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8.</w:t>
      </w:r>
      <w:r>
        <w:rPr>
          <w:rFonts w:hint="eastAsia" w:ascii="Times New Roman" w:hAnsi="Times New Roman" w:cs="Times New Roman" w:eastAsiaTheme="minorEastAsia"/>
          <w:szCs w:val="24"/>
          <w:highlight w:val="none"/>
        </w:rPr>
        <w:t>6</w:t>
      </w:r>
      <w:r>
        <w:rPr>
          <w:rFonts w:ascii="Times New Roman" w:hAnsi="Times New Roman" w:cs="Times New Roman" w:eastAsiaTheme="minorEastAsia"/>
          <w:szCs w:val="24"/>
          <w:highlight w:val="none"/>
        </w:rPr>
        <w:t>噪声监测分析过程中的质量保证和质量控制</w:t>
      </w:r>
      <w:r>
        <w:tab/>
      </w:r>
      <w:r>
        <w:fldChar w:fldCharType="begin"/>
      </w:r>
      <w:r>
        <w:instrText xml:space="preserve"> PAGEREF _Toc2634 \h </w:instrText>
      </w:r>
      <w:r>
        <w:fldChar w:fldCharType="separate"/>
      </w:r>
      <w:r>
        <w:t>27</w:t>
      </w:r>
      <w:r>
        <w:fldChar w:fldCharType="end"/>
      </w:r>
      <w:r>
        <w:rPr>
          <w:rFonts w:ascii="Times New Roman" w:hAnsi="Times New Roman" w:cs="Times New Roman"/>
          <w:color w:val="auto"/>
          <w:szCs w:val="24"/>
          <w:highlight w:val="none"/>
        </w:rPr>
        <w:fldChar w:fldCharType="end"/>
      </w:r>
    </w:p>
    <w:p>
      <w:pPr>
        <w:pStyle w:val="16"/>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_Toc17140 </w:instrText>
      </w:r>
      <w:r>
        <w:rPr>
          <w:rFonts w:ascii="Times New Roman" w:hAnsi="Times New Roman" w:cs="Times New Roman"/>
          <w:szCs w:val="24"/>
          <w:highlight w:val="none"/>
        </w:rPr>
        <w:fldChar w:fldCharType="separate"/>
      </w:r>
      <w:r>
        <w:rPr>
          <w:rFonts w:ascii="Times New Roman" w:hAnsi="Times New Roman" w:cs="Times New Roman"/>
          <w:szCs w:val="28"/>
          <w:highlight w:val="none"/>
        </w:rPr>
        <w:t>9、验收监测结果</w:t>
      </w:r>
      <w:r>
        <w:tab/>
      </w:r>
      <w:r>
        <w:fldChar w:fldCharType="begin"/>
      </w:r>
      <w:r>
        <w:instrText xml:space="preserve"> PAGEREF _Toc17140 \h </w:instrText>
      </w:r>
      <w:r>
        <w:fldChar w:fldCharType="separate"/>
      </w:r>
      <w:r>
        <w:t>28</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_Toc7424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9.1生产工况</w:t>
      </w:r>
      <w:r>
        <w:tab/>
      </w:r>
      <w:r>
        <w:fldChar w:fldCharType="begin"/>
      </w:r>
      <w:r>
        <w:instrText xml:space="preserve"> PAGEREF _Toc7424 \h </w:instrText>
      </w:r>
      <w:r>
        <w:fldChar w:fldCharType="separate"/>
      </w:r>
      <w:r>
        <w:t>28</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_Toc31666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9.2环保设施调试运行效果</w:t>
      </w:r>
      <w:r>
        <w:tab/>
      </w:r>
      <w:r>
        <w:fldChar w:fldCharType="begin"/>
      </w:r>
      <w:r>
        <w:instrText xml:space="preserve"> PAGEREF _Toc31666 \h </w:instrText>
      </w:r>
      <w:r>
        <w:fldChar w:fldCharType="separate"/>
      </w:r>
      <w:r>
        <w:t>28</w:t>
      </w:r>
      <w:r>
        <w:fldChar w:fldCharType="end"/>
      </w:r>
      <w:r>
        <w:rPr>
          <w:rFonts w:ascii="Times New Roman" w:hAnsi="Times New Roman" w:cs="Times New Roman"/>
          <w:color w:val="auto"/>
          <w:szCs w:val="24"/>
          <w:highlight w:val="none"/>
        </w:rPr>
        <w:fldChar w:fldCharType="end"/>
      </w:r>
    </w:p>
    <w:p>
      <w:pPr>
        <w:pStyle w:val="16"/>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_Toc28241 </w:instrText>
      </w:r>
      <w:r>
        <w:rPr>
          <w:rFonts w:ascii="Times New Roman" w:hAnsi="Times New Roman" w:cs="Times New Roman"/>
          <w:szCs w:val="24"/>
          <w:highlight w:val="none"/>
        </w:rPr>
        <w:fldChar w:fldCharType="separate"/>
      </w:r>
      <w:r>
        <w:rPr>
          <w:rFonts w:ascii="Times New Roman" w:hAnsi="Times New Roman" w:cs="Times New Roman"/>
          <w:szCs w:val="28"/>
          <w:highlight w:val="none"/>
        </w:rPr>
        <w:t>10、验收监测结论</w:t>
      </w:r>
      <w:r>
        <w:tab/>
      </w:r>
      <w:r>
        <w:fldChar w:fldCharType="begin"/>
      </w:r>
      <w:r>
        <w:instrText xml:space="preserve"> PAGEREF _Toc28241 \h </w:instrText>
      </w:r>
      <w:r>
        <w:fldChar w:fldCharType="separate"/>
      </w:r>
      <w:r>
        <w:t>36</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_Toc10947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10.1环保设施调试运行结果</w:t>
      </w:r>
      <w:r>
        <w:tab/>
      </w:r>
      <w:r>
        <w:fldChar w:fldCharType="begin"/>
      </w:r>
      <w:r>
        <w:instrText xml:space="preserve"> PAGEREF _Toc10947 \h </w:instrText>
      </w:r>
      <w:r>
        <w:fldChar w:fldCharType="separate"/>
      </w:r>
      <w:r>
        <w:t>36</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_Toc14124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10.2结论</w:t>
      </w:r>
      <w:r>
        <w:tab/>
      </w:r>
      <w:r>
        <w:fldChar w:fldCharType="begin"/>
      </w:r>
      <w:r>
        <w:instrText xml:space="preserve"> PAGEREF _Toc14124 \h </w:instrText>
      </w:r>
      <w:r>
        <w:fldChar w:fldCharType="separate"/>
      </w:r>
      <w:r>
        <w:t>37</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_Toc4258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10.3建议</w:t>
      </w:r>
      <w:r>
        <w:tab/>
      </w:r>
      <w:r>
        <w:fldChar w:fldCharType="begin"/>
      </w:r>
      <w:r>
        <w:instrText xml:space="preserve"> PAGEREF _Toc4258 \h </w:instrText>
      </w:r>
      <w:r>
        <w:fldChar w:fldCharType="separate"/>
      </w:r>
      <w:r>
        <w:t>37</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_Toc31842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附件一、环评批复</w:t>
      </w:r>
      <w:r>
        <w:tab/>
      </w:r>
      <w:r>
        <w:fldChar w:fldCharType="begin"/>
      </w:r>
      <w:r>
        <w:instrText xml:space="preserve"> PAGEREF _Toc31842 \h </w:instrText>
      </w:r>
      <w:r>
        <w:fldChar w:fldCharType="separate"/>
      </w:r>
      <w:r>
        <w:t>38</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_Toc13356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附件二、</w:t>
      </w:r>
      <w:r>
        <w:rPr>
          <w:rFonts w:hint="eastAsia" w:ascii="Times New Roman" w:hAnsi="Times New Roman" w:cs="Times New Roman" w:eastAsiaTheme="minorEastAsia"/>
          <w:szCs w:val="24"/>
          <w:highlight w:val="none"/>
        </w:rPr>
        <w:t>工况</w:t>
      </w:r>
      <w:r>
        <w:tab/>
      </w:r>
      <w:r>
        <w:fldChar w:fldCharType="begin"/>
      </w:r>
      <w:r>
        <w:instrText xml:space="preserve"> PAGEREF _Toc13356 \h </w:instrText>
      </w:r>
      <w:r>
        <w:fldChar w:fldCharType="separate"/>
      </w:r>
      <w:r>
        <w:t>42</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_Toc19191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附件</w:t>
      </w:r>
      <w:r>
        <w:rPr>
          <w:rFonts w:hint="eastAsia" w:ascii="Times New Roman" w:hAnsi="Times New Roman" w:cs="Times New Roman" w:eastAsiaTheme="minorEastAsia"/>
          <w:szCs w:val="24"/>
          <w:highlight w:val="none"/>
        </w:rPr>
        <w:t>三</w:t>
      </w:r>
      <w:r>
        <w:rPr>
          <w:rFonts w:ascii="Times New Roman" w:hAnsi="Times New Roman" w:cs="Times New Roman" w:eastAsiaTheme="minorEastAsia"/>
          <w:szCs w:val="24"/>
          <w:highlight w:val="none"/>
        </w:rPr>
        <w:t>、项目设备及原辅材料清单</w:t>
      </w:r>
      <w:r>
        <w:tab/>
      </w:r>
      <w:r>
        <w:fldChar w:fldCharType="begin"/>
      </w:r>
      <w:r>
        <w:instrText xml:space="preserve"> PAGEREF _Toc19191 \h </w:instrText>
      </w:r>
      <w:r>
        <w:fldChar w:fldCharType="separate"/>
      </w:r>
      <w:r>
        <w:t>43</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_Toc3522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附件</w:t>
      </w:r>
      <w:r>
        <w:rPr>
          <w:rFonts w:hint="eastAsia" w:ascii="Times New Roman" w:hAnsi="Times New Roman" w:cs="Times New Roman" w:eastAsiaTheme="minorEastAsia"/>
          <w:szCs w:val="24"/>
          <w:highlight w:val="none"/>
        </w:rPr>
        <w:t>四</w:t>
      </w:r>
      <w:r>
        <w:rPr>
          <w:rFonts w:ascii="Times New Roman" w:hAnsi="Times New Roman" w:cs="Times New Roman" w:eastAsiaTheme="minorEastAsia"/>
          <w:szCs w:val="24"/>
          <w:highlight w:val="none"/>
        </w:rPr>
        <w:t>、</w:t>
      </w:r>
      <w:r>
        <w:rPr>
          <w:rFonts w:hint="eastAsia" w:ascii="Times New Roman" w:hAnsi="Times New Roman" w:cs="Times New Roman" w:eastAsiaTheme="minorEastAsia"/>
          <w:szCs w:val="24"/>
          <w:highlight w:val="none"/>
        </w:rPr>
        <w:t>危废协议</w:t>
      </w:r>
      <w:r>
        <w:tab/>
      </w:r>
      <w:r>
        <w:fldChar w:fldCharType="begin"/>
      </w:r>
      <w:r>
        <w:instrText xml:space="preserve"> PAGEREF _Toc3522 \h </w:instrText>
      </w:r>
      <w:r>
        <w:fldChar w:fldCharType="separate"/>
      </w:r>
      <w:r>
        <w:t>45</w:t>
      </w:r>
      <w:r>
        <w:fldChar w:fldCharType="end"/>
      </w:r>
      <w:r>
        <w:rPr>
          <w:rFonts w:ascii="Times New Roman" w:hAnsi="Times New Roman" w:cs="Times New Roman"/>
          <w:color w:val="auto"/>
          <w:szCs w:val="24"/>
          <w:highlight w:val="none"/>
        </w:rPr>
        <w:fldChar w:fldCharType="end"/>
      </w:r>
    </w:p>
    <w:p>
      <w:pPr>
        <w:pStyle w:val="21"/>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_Toc3376 </w:instrText>
      </w:r>
      <w:r>
        <w:rPr>
          <w:rFonts w:ascii="Times New Roman" w:hAnsi="Times New Roman" w:cs="Times New Roman"/>
          <w:szCs w:val="24"/>
          <w:highlight w:val="none"/>
        </w:rPr>
        <w:fldChar w:fldCharType="separate"/>
      </w:r>
      <w:r>
        <w:rPr>
          <w:rFonts w:ascii="Times New Roman" w:hAnsi="Times New Roman" w:cs="Times New Roman" w:eastAsiaTheme="minorEastAsia"/>
          <w:szCs w:val="24"/>
          <w:highlight w:val="none"/>
        </w:rPr>
        <w:t>附件</w:t>
      </w:r>
      <w:r>
        <w:rPr>
          <w:rFonts w:hint="eastAsia" w:ascii="Times New Roman" w:hAnsi="Times New Roman" w:cs="Times New Roman" w:eastAsiaTheme="minorEastAsia"/>
          <w:szCs w:val="24"/>
          <w:highlight w:val="none"/>
        </w:rPr>
        <w:t>五</w:t>
      </w:r>
      <w:r>
        <w:rPr>
          <w:rFonts w:ascii="Times New Roman" w:hAnsi="Times New Roman" w:cs="Times New Roman" w:eastAsiaTheme="minorEastAsia"/>
          <w:szCs w:val="24"/>
          <w:highlight w:val="none"/>
        </w:rPr>
        <w:t>、</w:t>
      </w:r>
      <w:r>
        <w:rPr>
          <w:rFonts w:hint="eastAsia" w:ascii="Times New Roman" w:hAnsi="Times New Roman" w:cs="Times New Roman" w:eastAsiaTheme="minorEastAsia"/>
          <w:szCs w:val="24"/>
          <w:highlight w:val="none"/>
        </w:rPr>
        <w:t>检测报告（</w:t>
      </w:r>
      <w:r>
        <w:rPr>
          <w:rFonts w:hint="eastAsia" w:ascii="Times New Roman" w:hAnsi="Times New Roman" w:cs="Times New Roman" w:eastAsiaTheme="minorEastAsia"/>
          <w:szCs w:val="24"/>
          <w:highlight w:val="none"/>
          <w:lang w:eastAsia="zh-CN"/>
        </w:rPr>
        <w:t>HJ220125</w:t>
      </w:r>
      <w:r>
        <w:rPr>
          <w:rFonts w:hint="eastAsia" w:ascii="Times New Roman" w:hAnsi="Times New Roman" w:cs="Times New Roman" w:eastAsiaTheme="minorEastAsia"/>
          <w:szCs w:val="24"/>
          <w:highlight w:val="none"/>
        </w:rPr>
        <w:t>）</w:t>
      </w:r>
      <w:r>
        <w:rPr>
          <w:rFonts w:hint="eastAsia" w:ascii="Times New Roman" w:hAnsi="Times New Roman" w:cs="Times New Roman" w:eastAsiaTheme="minorEastAsia"/>
          <w:bCs/>
          <w:kern w:val="2"/>
          <w:szCs w:val="24"/>
          <w:highlight w:val="none"/>
          <w:lang w:val="en-US" w:eastAsia="zh-CN" w:bidi="ar-SA"/>
        </w:rPr>
        <w:t>、（HJ220486）</w:t>
      </w:r>
      <w:r>
        <w:tab/>
      </w:r>
      <w:r>
        <w:fldChar w:fldCharType="begin"/>
      </w:r>
      <w:r>
        <w:instrText xml:space="preserve"> PAGEREF _Toc3376 \h </w:instrText>
      </w:r>
      <w:r>
        <w:fldChar w:fldCharType="separate"/>
      </w:r>
      <w:r>
        <w:t>52</w:t>
      </w:r>
      <w:r>
        <w:fldChar w:fldCharType="end"/>
      </w:r>
      <w:r>
        <w:rPr>
          <w:rFonts w:ascii="Times New Roman" w:hAnsi="Times New Roman" w:cs="Times New Roman"/>
          <w:color w:val="auto"/>
          <w:szCs w:val="24"/>
          <w:highlight w:val="none"/>
        </w:rPr>
        <w:fldChar w:fldCharType="end"/>
      </w:r>
    </w:p>
    <w:p>
      <w:pPr>
        <w:pStyle w:val="16"/>
        <w:tabs>
          <w:tab w:val="right" w:leader="dot" w:pos="8300"/>
        </w:tabs>
      </w:pPr>
      <w:r>
        <w:rPr>
          <w:rFonts w:ascii="Times New Roman" w:hAnsi="Times New Roman" w:cs="Times New Roman"/>
          <w:color w:val="auto"/>
          <w:szCs w:val="24"/>
          <w:highlight w:val="none"/>
        </w:rPr>
        <w:fldChar w:fldCharType="begin"/>
      </w:r>
      <w:r>
        <w:rPr>
          <w:rFonts w:ascii="Times New Roman" w:hAnsi="Times New Roman" w:cs="Times New Roman"/>
          <w:szCs w:val="24"/>
          <w:highlight w:val="none"/>
        </w:rPr>
        <w:instrText xml:space="preserve"> HYPERLINK \l _Toc5158 </w:instrText>
      </w:r>
      <w:r>
        <w:rPr>
          <w:rFonts w:ascii="Times New Roman" w:hAnsi="Times New Roman" w:cs="Times New Roman"/>
          <w:szCs w:val="24"/>
          <w:highlight w:val="none"/>
        </w:rPr>
        <w:fldChar w:fldCharType="separate"/>
      </w:r>
      <w:r>
        <w:rPr>
          <w:rFonts w:ascii="Times New Roman" w:hAnsi="Times New Roman" w:cs="Times New Roman"/>
          <w:szCs w:val="28"/>
          <w:highlight w:val="none"/>
        </w:rPr>
        <w:t>建设项目工程竣工环境保护“三同时”验收登记表</w:t>
      </w:r>
      <w:r>
        <w:tab/>
      </w:r>
      <w:r>
        <w:fldChar w:fldCharType="begin"/>
      </w:r>
      <w:r>
        <w:instrText xml:space="preserve"> PAGEREF _Toc5158 \h </w:instrText>
      </w:r>
      <w:r>
        <w:fldChar w:fldCharType="separate"/>
      </w:r>
      <w:r>
        <w:t>66</w:t>
      </w:r>
      <w:r>
        <w:fldChar w:fldCharType="end"/>
      </w:r>
      <w:r>
        <w:rPr>
          <w:rFonts w:ascii="Times New Roman" w:hAnsi="Times New Roman" w:cs="Times New Roman"/>
          <w:color w:val="auto"/>
          <w:szCs w:val="24"/>
          <w:highlight w:val="none"/>
        </w:rPr>
        <w:fldChar w:fldCharType="end"/>
      </w:r>
    </w:p>
    <w:p>
      <w:pPr>
        <w:pStyle w:val="16"/>
        <w:tabs>
          <w:tab w:val="right" w:leader="dot" w:pos="8300"/>
        </w:tabs>
        <w:spacing w:line="360" w:lineRule="auto"/>
        <w:rPr>
          <w:rFonts w:ascii="Times New Roman" w:hAnsi="Times New Roman" w:cs="Times New Roman"/>
          <w:b/>
          <w:bCs/>
          <w:color w:val="auto"/>
          <w:sz w:val="24"/>
          <w:szCs w:val="24"/>
          <w:highlight w:val="none"/>
        </w:rPr>
        <w:sectPr>
          <w:headerReference r:id="rId4" w:type="default"/>
          <w:footerReference r:id="rId5" w:type="default"/>
          <w:pgSz w:w="11906" w:h="16838"/>
          <w:pgMar w:top="1440" w:right="1803" w:bottom="1440" w:left="1803" w:header="680" w:footer="992" w:gutter="0"/>
          <w:pgBorders>
            <w:top w:val="none" w:sz="0" w:space="0"/>
            <w:left w:val="none" w:sz="0" w:space="0"/>
            <w:bottom w:val="none" w:sz="0" w:space="0"/>
            <w:right w:val="none" w:sz="0" w:space="0"/>
          </w:pgBorders>
          <w:pgNumType w:start="1"/>
          <w:cols w:space="0" w:num="1"/>
          <w:docGrid w:type="lines" w:linePitch="312" w:charSpace="0"/>
        </w:sectPr>
      </w:pPr>
      <w:r>
        <w:rPr>
          <w:rFonts w:ascii="Times New Roman" w:hAnsi="Times New Roman" w:cs="Times New Roman"/>
          <w:color w:val="auto"/>
          <w:szCs w:val="24"/>
          <w:highlight w:val="none"/>
        </w:rPr>
        <w:fldChar w:fldCharType="end"/>
      </w:r>
    </w:p>
    <w:p>
      <w:pPr>
        <w:pStyle w:val="3"/>
        <w:spacing w:before="0" w:after="0" w:line="360" w:lineRule="auto"/>
        <w:jc w:val="left"/>
        <w:rPr>
          <w:rFonts w:ascii="Times New Roman" w:hAnsi="Times New Roman" w:cs="Times New Roman"/>
          <w:color w:val="auto"/>
          <w:highlight w:val="none"/>
        </w:rPr>
      </w:pPr>
      <w:bookmarkStart w:id="0" w:name="_Toc19921"/>
      <w:r>
        <w:rPr>
          <w:rFonts w:ascii="Times New Roman" w:hAnsi="Times New Roman" w:cs="Times New Roman"/>
          <w:color w:val="auto"/>
          <w:sz w:val="28"/>
          <w:szCs w:val="28"/>
          <w:highlight w:val="none"/>
        </w:rPr>
        <w:t>1、验收项目概况</w:t>
      </w:r>
      <w:bookmarkEnd w:id="0"/>
    </w:p>
    <w:p>
      <w:pPr>
        <w:keepNext w:val="0"/>
        <w:keepLines w:val="0"/>
        <w:pageBreakBefore w:val="0"/>
        <w:widowControl w:val="0"/>
        <w:tabs>
          <w:tab w:val="left" w:pos="945"/>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eastAsia="zh-CN"/>
        </w:rPr>
        <w:t>宁波市鄞州勤锦金属回收有限公司成立于</w:t>
      </w:r>
      <w:r>
        <w:rPr>
          <w:rFonts w:hint="default" w:ascii="Times New Roman" w:hAnsi="Times New Roman" w:cs="Times New Roman"/>
          <w:color w:val="auto"/>
          <w:sz w:val="24"/>
          <w:szCs w:val="24"/>
          <w:highlight w:val="none"/>
          <w:lang w:val="en-US" w:eastAsia="zh-CN"/>
        </w:rPr>
        <w:t>2009年8月，于2009年8月编制完成了生产性废旧金属回收项目，并于当月通过环保审批；由于发展需要，2012年4月编制完成了生产性废旧金属回收项目迁建项目</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该项目于2012年4月27日经</w:t>
      </w:r>
      <w:r>
        <w:rPr>
          <w:rFonts w:hint="eastAsia" w:ascii="Times New Roman" w:hAnsi="Times New Roman" w:cs="Times New Roman"/>
          <w:color w:val="auto"/>
          <w:sz w:val="24"/>
          <w:szCs w:val="24"/>
          <w:highlight w:val="none"/>
          <w:lang w:val="en-US" w:eastAsia="zh-CN"/>
        </w:rPr>
        <w:t>宁波市生态环境局</w:t>
      </w:r>
      <w:r>
        <w:rPr>
          <w:rFonts w:hint="default" w:ascii="Times New Roman" w:hAnsi="Times New Roman" w:cs="Times New Roman"/>
          <w:color w:val="auto"/>
          <w:sz w:val="24"/>
          <w:szCs w:val="24"/>
          <w:highlight w:val="none"/>
          <w:lang w:val="en-US" w:eastAsia="zh-CN"/>
        </w:rPr>
        <w:t>审批通过，审批文号鄞环建</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2012</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0157号，企业搬迁至</w:t>
      </w:r>
      <w:r>
        <w:rPr>
          <w:rFonts w:hint="default" w:ascii="Times New Roman" w:hAnsi="Times New Roman" w:cs="Times New Roman"/>
          <w:color w:val="auto"/>
          <w:sz w:val="24"/>
          <w:szCs w:val="24"/>
          <w:highlight w:val="none"/>
          <w:lang w:eastAsia="zh-CN"/>
        </w:rPr>
        <w:t>宁波市鄞州区五乡镇同岙村，利用自有厂房（</w:t>
      </w:r>
      <w:r>
        <w:rPr>
          <w:rFonts w:hint="default" w:ascii="Times New Roman" w:hAnsi="Times New Roman" w:cs="Times New Roman"/>
          <w:color w:val="auto"/>
          <w:sz w:val="24"/>
          <w:szCs w:val="24"/>
          <w:highlight w:val="none"/>
          <w:lang w:val="en-US" w:eastAsia="zh-CN"/>
        </w:rPr>
        <w:t>占地面积16908</w:t>
      </w:r>
      <w:r>
        <w:rPr>
          <w:rFonts w:hint="eastAsia" w:ascii="Times New Roman" w:hAnsi="Times New Roman" w:cs="Times New Roman"/>
          <w:color w:val="auto"/>
          <w:sz w:val="24"/>
          <w:szCs w:val="24"/>
          <w:highlight w:val="none"/>
          <w:lang w:val="en-US" w:eastAsia="zh-CN"/>
        </w:rPr>
        <w:t>m</w:t>
      </w:r>
      <w:r>
        <w:rPr>
          <w:rFonts w:hint="eastAsia"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lang w:val="en-US" w:eastAsia="zh-CN"/>
        </w:rPr>
        <w:t>，建筑面积7758.26</w:t>
      </w:r>
      <w:r>
        <w:rPr>
          <w:rFonts w:hint="eastAsia" w:ascii="Times New Roman" w:hAnsi="Times New Roman" w:cs="Times New Roman"/>
          <w:color w:val="auto"/>
          <w:sz w:val="24"/>
          <w:szCs w:val="24"/>
          <w:highlight w:val="none"/>
          <w:lang w:val="en-US" w:eastAsia="zh-CN"/>
        </w:rPr>
        <w:t>m</w:t>
      </w:r>
      <w:r>
        <w:rPr>
          <w:rFonts w:hint="eastAsia"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lang w:eastAsia="zh-CN"/>
        </w:rPr>
        <w:t>）进行生产，</w:t>
      </w:r>
      <w:r>
        <w:rPr>
          <w:rFonts w:hint="eastAsia" w:ascii="Times New Roman" w:hAnsi="Times New Roman" w:cs="Times New Roman"/>
          <w:color w:val="auto"/>
          <w:sz w:val="24"/>
          <w:szCs w:val="24"/>
          <w:highlight w:val="none"/>
          <w:lang w:eastAsia="zh-CN"/>
        </w:rPr>
        <w:t>年回收废旧金属</w:t>
      </w:r>
      <w:r>
        <w:rPr>
          <w:rFonts w:hint="eastAsia" w:ascii="Times New Roman" w:hAnsi="Times New Roman" w:cs="Times New Roman"/>
          <w:color w:val="auto"/>
          <w:sz w:val="24"/>
          <w:szCs w:val="24"/>
          <w:highlight w:val="none"/>
          <w:lang w:val="en-US" w:eastAsia="zh-CN"/>
        </w:rPr>
        <w:t>10000吨，</w:t>
      </w:r>
      <w:r>
        <w:rPr>
          <w:rFonts w:hint="default" w:ascii="Times New Roman" w:hAnsi="Times New Roman" w:cs="Times New Roman"/>
          <w:color w:val="auto"/>
          <w:sz w:val="24"/>
          <w:szCs w:val="24"/>
          <w:highlight w:val="none"/>
          <w:lang w:val="en-US" w:eastAsia="zh-CN"/>
        </w:rPr>
        <w:t>并于2012年8月16日由</w:t>
      </w:r>
      <w:r>
        <w:rPr>
          <w:rFonts w:hint="eastAsia" w:ascii="Times New Roman" w:hAnsi="Times New Roman" w:cs="Times New Roman"/>
          <w:color w:val="auto"/>
          <w:sz w:val="24"/>
          <w:szCs w:val="24"/>
          <w:highlight w:val="none"/>
          <w:lang w:val="en-US" w:eastAsia="zh-CN"/>
        </w:rPr>
        <w:t>宁波市生态环境局</w:t>
      </w:r>
      <w:r>
        <w:rPr>
          <w:rFonts w:hint="default" w:ascii="Times New Roman" w:hAnsi="Times New Roman" w:cs="Times New Roman"/>
          <w:color w:val="auto"/>
          <w:sz w:val="24"/>
          <w:szCs w:val="24"/>
          <w:highlight w:val="none"/>
          <w:lang w:val="en-US" w:eastAsia="zh-CN"/>
        </w:rPr>
        <w:t>通过了该项目的验收。</w:t>
      </w:r>
    </w:p>
    <w:p>
      <w:pPr>
        <w:pStyle w:val="15"/>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eastAsiaTheme="minorEastAsia"/>
          <w:color w:val="auto"/>
          <w:kern w:val="2"/>
          <w:sz w:val="24"/>
          <w:szCs w:val="24"/>
          <w:highlight w:val="none"/>
          <w:lang w:val="en-US" w:eastAsia="zh-CN" w:bidi="ar-SA"/>
        </w:rPr>
      </w:pPr>
      <w:r>
        <w:rPr>
          <w:rFonts w:hint="eastAsia" w:ascii="Times New Roman" w:hAnsi="Times New Roman" w:cs="Times New Roman" w:eastAsiaTheme="minorEastAsia"/>
          <w:color w:val="auto"/>
          <w:kern w:val="2"/>
          <w:sz w:val="24"/>
          <w:szCs w:val="24"/>
          <w:highlight w:val="none"/>
          <w:lang w:val="en-US" w:eastAsia="zh-CN" w:bidi="ar-SA"/>
        </w:rPr>
        <w:t>为响应</w:t>
      </w:r>
      <w:r>
        <w:rPr>
          <w:rFonts w:hint="default" w:ascii="Times New Roman" w:hAnsi="Times New Roman" w:cs="Times New Roman" w:eastAsiaTheme="minorEastAsia"/>
          <w:color w:val="auto"/>
          <w:kern w:val="2"/>
          <w:sz w:val="24"/>
          <w:szCs w:val="24"/>
          <w:highlight w:val="none"/>
          <w:lang w:val="en-US" w:eastAsia="zh-CN" w:bidi="ar-SA"/>
        </w:rPr>
        <w:t>国家</w:t>
      </w:r>
      <w:r>
        <w:rPr>
          <w:rFonts w:hint="eastAsia" w:ascii="Times New Roman" w:hAnsi="Times New Roman" w:cs="Times New Roman" w:eastAsiaTheme="minorEastAsia"/>
          <w:color w:val="auto"/>
          <w:kern w:val="2"/>
          <w:sz w:val="24"/>
          <w:szCs w:val="24"/>
          <w:highlight w:val="none"/>
          <w:lang w:val="en-US" w:eastAsia="zh-CN" w:bidi="ar-SA"/>
        </w:rPr>
        <w:t>政策，企业</w:t>
      </w:r>
      <w:r>
        <w:rPr>
          <w:rFonts w:hint="default" w:ascii="Times New Roman" w:hAnsi="Times New Roman" w:cs="Times New Roman" w:eastAsiaTheme="minorEastAsia"/>
          <w:color w:val="auto"/>
          <w:kern w:val="2"/>
          <w:sz w:val="24"/>
          <w:szCs w:val="24"/>
          <w:highlight w:val="none"/>
          <w:lang w:val="en-US" w:eastAsia="zh-CN" w:bidi="ar-SA"/>
        </w:rPr>
        <w:t>租赁宁波格林工艺玩具有限公司位于宁波市鄞州区五乡镇新诚村的</w:t>
      </w:r>
      <w:r>
        <w:rPr>
          <w:rFonts w:hint="eastAsia" w:ascii="Times New Roman" w:hAnsi="Times New Roman" w:cs="Times New Roman" w:eastAsiaTheme="minorEastAsia"/>
          <w:color w:val="auto"/>
          <w:kern w:val="2"/>
          <w:sz w:val="24"/>
          <w:szCs w:val="24"/>
          <w:highlight w:val="none"/>
          <w:lang w:val="en-US" w:eastAsia="zh-CN" w:bidi="ar-SA"/>
        </w:rPr>
        <w:t>部分</w:t>
      </w:r>
      <w:r>
        <w:rPr>
          <w:rFonts w:hint="default" w:ascii="Times New Roman" w:hAnsi="Times New Roman" w:cs="Times New Roman" w:eastAsiaTheme="minorEastAsia"/>
          <w:color w:val="auto"/>
          <w:kern w:val="2"/>
          <w:sz w:val="24"/>
          <w:szCs w:val="24"/>
          <w:highlight w:val="none"/>
          <w:lang w:val="en-US" w:eastAsia="zh-CN" w:bidi="ar-SA"/>
        </w:rPr>
        <w:t>厂房</w:t>
      </w:r>
      <w:r>
        <w:rPr>
          <w:rFonts w:hint="eastAsia" w:ascii="Times New Roman" w:hAnsi="Times New Roman" w:cs="Times New Roman" w:eastAsiaTheme="minorEastAsia"/>
          <w:color w:val="auto"/>
          <w:kern w:val="2"/>
          <w:sz w:val="24"/>
          <w:szCs w:val="24"/>
          <w:highlight w:val="none"/>
          <w:lang w:val="en-US" w:eastAsia="zh-CN" w:bidi="ar-SA"/>
        </w:rPr>
        <w:t>（</w:t>
      </w:r>
      <w:r>
        <w:rPr>
          <w:rFonts w:hint="default" w:ascii="Times New Roman" w:hAnsi="Times New Roman" w:cs="Times New Roman" w:eastAsiaTheme="minorEastAsia"/>
          <w:color w:val="auto"/>
          <w:kern w:val="2"/>
          <w:sz w:val="24"/>
          <w:szCs w:val="24"/>
          <w:highlight w:val="none"/>
          <w:lang w:val="en-US" w:eastAsia="zh-CN" w:bidi="ar-SA"/>
        </w:rPr>
        <w:t>占地面积12000</w:t>
      </w:r>
      <w:r>
        <w:rPr>
          <w:rFonts w:hint="eastAsia" w:ascii="Times New Roman" w:hAnsi="Times New Roman" w:cs="Times New Roman"/>
          <w:color w:val="auto"/>
          <w:sz w:val="24"/>
          <w:szCs w:val="24"/>
          <w:highlight w:val="none"/>
          <w:lang w:val="en-US" w:eastAsia="zh-CN"/>
        </w:rPr>
        <w:t>m</w:t>
      </w:r>
      <w:r>
        <w:rPr>
          <w:rFonts w:hint="eastAsia"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eastAsiaTheme="minorEastAsia"/>
          <w:color w:val="auto"/>
          <w:kern w:val="2"/>
          <w:sz w:val="24"/>
          <w:szCs w:val="24"/>
          <w:highlight w:val="none"/>
          <w:lang w:val="en-US" w:eastAsia="zh-CN" w:bidi="ar-SA"/>
        </w:rPr>
        <w:t>，建筑面积6356.4</w:t>
      </w:r>
      <w:r>
        <w:rPr>
          <w:rFonts w:hint="eastAsia" w:ascii="Times New Roman" w:hAnsi="Times New Roman" w:cs="Times New Roman"/>
          <w:color w:val="auto"/>
          <w:sz w:val="24"/>
          <w:szCs w:val="24"/>
          <w:highlight w:val="none"/>
          <w:lang w:val="en-US" w:eastAsia="zh-CN"/>
        </w:rPr>
        <w:t>m</w:t>
      </w:r>
      <w:r>
        <w:rPr>
          <w:rFonts w:hint="eastAsia" w:ascii="Times New Roman" w:hAnsi="Times New Roman" w:cs="Times New Roman"/>
          <w:color w:val="auto"/>
          <w:sz w:val="24"/>
          <w:szCs w:val="24"/>
          <w:highlight w:val="none"/>
          <w:vertAlign w:val="superscript"/>
          <w:lang w:val="en-US" w:eastAsia="zh-CN"/>
        </w:rPr>
        <w:t>2</w:t>
      </w:r>
      <w:r>
        <w:rPr>
          <w:rFonts w:hint="eastAsia" w:ascii="Times New Roman" w:hAnsi="Times New Roman" w:cs="Times New Roman" w:eastAsiaTheme="minorEastAsia"/>
          <w:color w:val="auto"/>
          <w:kern w:val="2"/>
          <w:sz w:val="24"/>
          <w:szCs w:val="24"/>
          <w:highlight w:val="none"/>
          <w:lang w:val="en-US" w:eastAsia="zh-CN" w:bidi="ar-SA"/>
        </w:rPr>
        <w:t>）</w:t>
      </w:r>
      <w:r>
        <w:rPr>
          <w:rFonts w:hint="default" w:ascii="Times New Roman" w:hAnsi="Times New Roman" w:cs="Times New Roman" w:eastAsiaTheme="minorEastAsia"/>
          <w:color w:val="auto"/>
          <w:kern w:val="2"/>
          <w:sz w:val="24"/>
          <w:szCs w:val="24"/>
          <w:highlight w:val="none"/>
          <w:lang w:val="en-US" w:eastAsia="zh-CN" w:bidi="ar-SA"/>
        </w:rPr>
        <w:t>，</w:t>
      </w:r>
      <w:r>
        <w:rPr>
          <w:rFonts w:hint="eastAsia" w:ascii="Times New Roman" w:hAnsi="Times New Roman" w:cs="Times New Roman" w:eastAsiaTheme="minorEastAsia"/>
          <w:color w:val="auto"/>
          <w:kern w:val="2"/>
          <w:sz w:val="24"/>
          <w:szCs w:val="24"/>
          <w:highlight w:val="none"/>
          <w:lang w:val="en-US" w:eastAsia="zh-CN" w:bidi="ar-SA"/>
        </w:rPr>
        <w:t>实施回收拆解报废汽车扩建项目，扩建项目实施后将形成年回收拆解</w:t>
      </w:r>
      <w:r>
        <w:rPr>
          <w:rFonts w:hint="default" w:ascii="Times New Roman" w:hAnsi="Times New Roman" w:cs="Times New Roman" w:eastAsiaTheme="minorEastAsia"/>
          <w:color w:val="auto"/>
          <w:kern w:val="2"/>
          <w:sz w:val="24"/>
          <w:szCs w:val="24"/>
          <w:highlight w:val="none"/>
          <w:lang w:val="en-US" w:eastAsia="zh-CN" w:bidi="ar-SA"/>
        </w:rPr>
        <w:t>3万台</w:t>
      </w:r>
      <w:r>
        <w:rPr>
          <w:rFonts w:hint="eastAsia" w:ascii="Times New Roman" w:hAnsi="Times New Roman" w:cs="Times New Roman" w:eastAsiaTheme="minorEastAsia"/>
          <w:color w:val="auto"/>
          <w:kern w:val="2"/>
          <w:sz w:val="24"/>
          <w:szCs w:val="24"/>
          <w:highlight w:val="none"/>
          <w:lang w:val="en-US" w:eastAsia="zh-CN" w:bidi="ar-SA"/>
        </w:rPr>
        <w:t>报废汽车（小型传统燃料汽车20000辆/a、小型电动汽车6000辆/a、大型车4000辆/a）的生产能力，本项目已在宁波市鄞州区经济和信息化局备案，项目代码为2020-330212-42-03-168708</w:t>
      </w:r>
      <w:r>
        <w:rPr>
          <w:rFonts w:hint="default" w:ascii="Times New Roman" w:hAnsi="Times New Roman" w:cs="Times New Roman" w:eastAsiaTheme="minorEastAsia"/>
          <w:color w:val="auto"/>
          <w:kern w:val="2"/>
          <w:sz w:val="24"/>
          <w:szCs w:val="24"/>
          <w:highlight w:val="none"/>
          <w:lang w:val="en-US" w:eastAsia="zh-CN" w:bidi="ar-SA"/>
        </w:rPr>
        <w:t>。</w:t>
      </w:r>
    </w:p>
    <w:p>
      <w:pPr>
        <w:keepNext w:val="0"/>
        <w:keepLines w:val="0"/>
        <w:pageBreakBefore w:val="0"/>
        <w:widowControl w:val="0"/>
        <w:tabs>
          <w:tab w:val="left" w:pos="945"/>
        </w:tabs>
        <w:kinsoku/>
        <w:wordWrap/>
        <w:overflowPunct/>
        <w:topLinePunct w:val="0"/>
        <w:autoSpaceDE/>
        <w:autoSpaceDN/>
        <w:bidi w:val="0"/>
        <w:adjustRightInd/>
        <w:snapToGrid/>
        <w:spacing w:line="360" w:lineRule="auto"/>
        <w:ind w:firstLine="480" w:firstLineChars="200"/>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20</w:t>
      </w:r>
      <w:r>
        <w:rPr>
          <w:rFonts w:hint="eastAsia" w:ascii="Times New Roman" w:hAnsi="Times New Roman" w:cs="Times New Roman"/>
          <w:color w:val="auto"/>
          <w:sz w:val="24"/>
          <w:szCs w:val="24"/>
          <w:highlight w:val="none"/>
          <w:lang w:val="en-US" w:eastAsia="zh-CN"/>
        </w:rPr>
        <w:t>20</w:t>
      </w:r>
      <w:r>
        <w:rPr>
          <w:rFonts w:ascii="Times New Roman" w:hAnsi="Times New Roman" w:cs="Times New Roman"/>
          <w:color w:val="auto"/>
          <w:sz w:val="24"/>
          <w:szCs w:val="24"/>
          <w:highlight w:val="none"/>
        </w:rPr>
        <w:t>年</w:t>
      </w:r>
      <w:r>
        <w:rPr>
          <w:rFonts w:hint="eastAsia" w:ascii="Times New Roman" w:hAnsi="Times New Roman" w:cs="Times New Roman"/>
          <w:color w:val="auto"/>
          <w:sz w:val="24"/>
          <w:szCs w:val="24"/>
          <w:highlight w:val="none"/>
          <w:lang w:val="en-US" w:eastAsia="zh-CN"/>
        </w:rPr>
        <w:t>8</w:t>
      </w:r>
      <w:r>
        <w:rPr>
          <w:rFonts w:ascii="Times New Roman" w:hAnsi="Times New Roman" w:cs="Times New Roman"/>
          <w:color w:val="auto"/>
          <w:sz w:val="24"/>
          <w:szCs w:val="24"/>
          <w:highlight w:val="none"/>
        </w:rPr>
        <w:t>月，企业委托</w:t>
      </w:r>
      <w:r>
        <w:rPr>
          <w:rFonts w:hint="eastAsia" w:ascii="Times New Roman" w:hAnsi="Times New Roman" w:cs="Times New Roman"/>
          <w:color w:val="auto"/>
          <w:sz w:val="24"/>
          <w:szCs w:val="24"/>
          <w:highlight w:val="none"/>
          <w:lang w:eastAsia="zh-CN"/>
        </w:rPr>
        <w:t>宁波市树泰环境技术有限公司</w:t>
      </w:r>
      <w:r>
        <w:rPr>
          <w:rFonts w:ascii="Times New Roman" w:hAnsi="Times New Roman" w:cs="Times New Roman"/>
          <w:color w:val="auto"/>
          <w:sz w:val="24"/>
          <w:szCs w:val="24"/>
          <w:highlight w:val="none"/>
        </w:rPr>
        <w:t>编制完成《</w:t>
      </w:r>
      <w:r>
        <w:rPr>
          <w:rFonts w:hint="eastAsia" w:ascii="Times New Roman" w:hAnsi="Times New Roman" w:cs="Times New Roman"/>
          <w:color w:val="auto"/>
          <w:sz w:val="24"/>
          <w:szCs w:val="24"/>
          <w:highlight w:val="none"/>
          <w:lang w:eastAsia="zh-CN"/>
        </w:rPr>
        <w:t>宁波市鄞州勤锦金属回收有限公司年回收拆解3万台报废汽车扩建项目环境影响报告书</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宁波市生态环境局</w:t>
      </w:r>
      <w:r>
        <w:rPr>
          <w:rFonts w:ascii="Times New Roman" w:hAnsi="Times New Roman" w:cs="Times New Roman"/>
          <w:color w:val="auto"/>
          <w:sz w:val="24"/>
          <w:szCs w:val="24"/>
          <w:highlight w:val="none"/>
        </w:rPr>
        <w:t>于</w:t>
      </w:r>
      <w:r>
        <w:rPr>
          <w:rFonts w:hint="eastAsia" w:ascii="Times New Roman" w:hAnsi="Times New Roman" w:cs="Times New Roman"/>
          <w:color w:val="auto"/>
          <w:sz w:val="24"/>
          <w:szCs w:val="24"/>
          <w:highlight w:val="none"/>
          <w:lang w:eastAsia="zh-CN"/>
        </w:rPr>
        <w:t>2020年11月03日</w:t>
      </w:r>
      <w:r>
        <w:rPr>
          <w:rFonts w:ascii="Times New Roman" w:hAnsi="Times New Roman" w:cs="Times New Roman"/>
          <w:color w:val="auto"/>
          <w:sz w:val="24"/>
          <w:szCs w:val="24"/>
          <w:highlight w:val="none"/>
        </w:rPr>
        <w:t>以</w:t>
      </w:r>
      <w:r>
        <w:rPr>
          <w:rFonts w:hint="eastAsia" w:ascii="Times New Roman" w:hAnsi="Times New Roman" w:cs="Times New Roman"/>
          <w:color w:val="auto"/>
          <w:sz w:val="24"/>
          <w:szCs w:val="24"/>
          <w:highlight w:val="none"/>
          <w:lang w:eastAsia="zh-CN"/>
        </w:rPr>
        <w:t>甬鄞环建【2020】8号</w:t>
      </w:r>
      <w:r>
        <w:rPr>
          <w:rFonts w:ascii="Times New Roman" w:hAnsi="Times New Roman" w:cs="Times New Roman"/>
          <w:color w:val="auto"/>
          <w:sz w:val="24"/>
          <w:szCs w:val="24"/>
          <w:highlight w:val="none"/>
        </w:rPr>
        <w:t>文件对该项目做出了批复。本次验收范围：</w:t>
      </w:r>
      <w:r>
        <w:rPr>
          <w:rFonts w:hint="eastAsia" w:ascii="Times New Roman" w:hAnsi="Times New Roman" w:cs="Times New Roman"/>
          <w:color w:val="auto"/>
          <w:sz w:val="24"/>
          <w:szCs w:val="24"/>
          <w:highlight w:val="none"/>
          <w:lang w:eastAsia="zh-CN"/>
        </w:rPr>
        <w:t>年回收拆解3万台报废汽车扩建项目</w:t>
      </w:r>
      <w:r>
        <w:rPr>
          <w:rFonts w:ascii="Times New Roman" w:hAnsi="Times New Roman" w:cs="Times New Roman"/>
          <w:color w:val="auto"/>
          <w:sz w:val="24"/>
          <w:szCs w:val="24"/>
          <w:highlight w:val="none"/>
        </w:rPr>
        <w:t>整体验收。</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s="Times New Roman"/>
          <w:color w:val="auto"/>
          <w:sz w:val="24"/>
          <w:highlight w:val="none"/>
        </w:rPr>
      </w:pPr>
      <w:r>
        <w:rPr>
          <w:rFonts w:hint="eastAsia" w:ascii="Times New Roman" w:hAnsi="Times New Roman" w:cs="Times New Roman"/>
          <w:color w:val="auto"/>
          <w:kern w:val="2"/>
          <w:sz w:val="24"/>
          <w:szCs w:val="24"/>
          <w:highlight w:val="none"/>
          <w:lang w:val="en-US" w:eastAsia="zh-CN" w:bidi="ar-SA"/>
        </w:rPr>
        <w:t>企业扩建</w:t>
      </w:r>
      <w:r>
        <w:rPr>
          <w:rFonts w:hint="eastAsia" w:ascii="Times New Roman" w:hAnsi="Times New Roman" w:cs="Times New Roman" w:eastAsiaTheme="minorEastAsia"/>
          <w:color w:val="auto"/>
          <w:kern w:val="2"/>
          <w:sz w:val="24"/>
          <w:szCs w:val="24"/>
          <w:highlight w:val="none"/>
          <w:lang w:val="en-US" w:eastAsia="zh-CN" w:bidi="ar-SA"/>
        </w:rPr>
        <w:t>项目总投资1500万元</w:t>
      </w:r>
      <w:r>
        <w:rPr>
          <w:rFonts w:hint="eastAsia" w:ascii="Times New Roman" w:hAnsi="Times New Roman" w:cs="Times New Roman"/>
          <w:color w:val="auto"/>
          <w:kern w:val="2"/>
          <w:sz w:val="24"/>
          <w:szCs w:val="24"/>
          <w:highlight w:val="none"/>
          <w:lang w:val="en-US" w:eastAsia="zh-CN" w:bidi="ar-SA"/>
        </w:rPr>
        <w:t>，</w:t>
      </w:r>
      <w:r>
        <w:rPr>
          <w:rFonts w:hint="eastAsia" w:ascii="Times New Roman" w:hAnsi="Times New Roman" w:cs="Times New Roman" w:eastAsiaTheme="minorEastAsia"/>
          <w:color w:val="auto"/>
          <w:kern w:val="2"/>
          <w:sz w:val="24"/>
          <w:szCs w:val="24"/>
          <w:highlight w:val="none"/>
          <w:lang w:val="en-US" w:eastAsia="zh-CN" w:bidi="ar-SA"/>
        </w:rPr>
        <w:t>企业现有项目劳动定员30人，本扩建项目新增劳动定员40人；企业实行两班制（每班9h）生产，年工作300</w:t>
      </w:r>
      <w:r>
        <w:rPr>
          <w:rFonts w:hint="eastAsia" w:ascii="Times New Roman" w:hAnsi="Times New Roman" w:cs="Times New Roman"/>
          <w:color w:val="auto"/>
          <w:kern w:val="2"/>
          <w:sz w:val="24"/>
          <w:szCs w:val="24"/>
          <w:highlight w:val="none"/>
          <w:lang w:val="en-US" w:eastAsia="zh-CN" w:bidi="ar-SA"/>
        </w:rPr>
        <w:t>天，</w:t>
      </w:r>
      <w:r>
        <w:rPr>
          <w:rFonts w:ascii="Times New Roman" w:hAnsi="Times New Roman" w:eastAsia="宋体" w:cs="Times New Roman"/>
          <w:color w:val="auto"/>
          <w:sz w:val="24"/>
          <w:szCs w:val="24"/>
          <w:highlight w:val="none"/>
        </w:rPr>
        <w:t>不设食堂</w:t>
      </w:r>
      <w:r>
        <w:rPr>
          <w:rFonts w:ascii="Times New Roman" w:hAnsi="Times New Roman" w:cs="Times New Roman"/>
          <w:color w:val="auto"/>
          <w:sz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根据国务院第682号令《建设项目环境保护管理条例》和生态环境部办公厅（公告2018年第9号）《关于发布&lt;建设项目验收技术指南 污染影响类&gt;的公告》的规定和要求，以及建设单位提供的建设竣工环境保护项目环境影响报告</w:t>
      </w:r>
      <w:r>
        <w:rPr>
          <w:rFonts w:hint="eastAsia" w:ascii="Times New Roman" w:hAnsi="Times New Roman" w:cs="Times New Roman"/>
          <w:color w:val="auto"/>
          <w:sz w:val="24"/>
          <w:szCs w:val="24"/>
          <w:highlight w:val="none"/>
          <w:lang w:eastAsia="zh-CN"/>
        </w:rPr>
        <w:t>书</w:t>
      </w:r>
      <w:r>
        <w:rPr>
          <w:rFonts w:ascii="Times New Roman" w:hAnsi="Times New Roman" w:cs="Times New Roman"/>
          <w:color w:val="auto"/>
          <w:sz w:val="24"/>
          <w:szCs w:val="24"/>
          <w:highlight w:val="none"/>
        </w:rPr>
        <w:t>等有关资料，受</w:t>
      </w:r>
      <w:r>
        <w:rPr>
          <w:rFonts w:hint="eastAsia" w:ascii="Times New Roman" w:hAnsi="Times New Roman" w:cs="Times New Roman"/>
          <w:color w:val="auto"/>
          <w:sz w:val="24"/>
          <w:szCs w:val="24"/>
          <w:highlight w:val="none"/>
          <w:lang w:eastAsia="zh-CN"/>
        </w:rPr>
        <w:t>宁波市鄞州勤锦金属回收有限公司</w:t>
      </w:r>
      <w:r>
        <w:rPr>
          <w:rFonts w:ascii="Times New Roman" w:hAnsi="Times New Roman" w:cs="Times New Roman"/>
          <w:color w:val="auto"/>
          <w:sz w:val="24"/>
          <w:szCs w:val="24"/>
          <w:highlight w:val="none"/>
        </w:rPr>
        <w:t>委托，</w:t>
      </w:r>
      <w:r>
        <w:rPr>
          <w:rFonts w:hint="eastAsia" w:ascii="Times New Roman" w:hAnsi="Times New Roman" w:cs="Times New Roman"/>
          <w:color w:val="auto"/>
          <w:sz w:val="24"/>
          <w:szCs w:val="24"/>
          <w:highlight w:val="none"/>
          <w:lang w:eastAsia="zh-CN"/>
        </w:rPr>
        <w:t>宁波市树正环保工程有限公司</w:t>
      </w:r>
      <w:r>
        <w:rPr>
          <w:rFonts w:ascii="Times New Roman" w:hAnsi="Times New Roman" w:cs="Times New Roman"/>
          <w:color w:val="auto"/>
          <w:sz w:val="24"/>
          <w:szCs w:val="24"/>
          <w:highlight w:val="none"/>
        </w:rPr>
        <w:t>于20</w:t>
      </w:r>
      <w:r>
        <w:rPr>
          <w:rFonts w:hint="eastAsia" w:ascii="Times New Roman" w:hAnsi="Times New Roman" w:cs="Times New Roman"/>
          <w:color w:val="auto"/>
          <w:sz w:val="24"/>
          <w:szCs w:val="24"/>
          <w:highlight w:val="none"/>
        </w:rPr>
        <w:t>2</w:t>
      </w:r>
      <w:r>
        <w:rPr>
          <w:rFonts w:hint="eastAsia" w:ascii="Times New Roman" w:hAnsi="Times New Roman" w:cs="Times New Roman"/>
          <w:color w:val="auto"/>
          <w:sz w:val="24"/>
          <w:szCs w:val="24"/>
          <w:highlight w:val="none"/>
          <w:lang w:val="en-US" w:eastAsia="zh-CN"/>
        </w:rPr>
        <w:t>1</w:t>
      </w:r>
      <w:r>
        <w:rPr>
          <w:rFonts w:ascii="Times New Roman" w:hAnsi="Times New Roman" w:cs="Times New Roman"/>
          <w:color w:val="auto"/>
          <w:sz w:val="24"/>
          <w:szCs w:val="24"/>
          <w:highlight w:val="none"/>
        </w:rPr>
        <w:t>年</w:t>
      </w:r>
      <w:r>
        <w:rPr>
          <w:rFonts w:hint="eastAsia" w:ascii="Times New Roman" w:hAnsi="Times New Roman" w:cs="Times New Roman"/>
          <w:color w:val="auto"/>
          <w:sz w:val="24"/>
          <w:szCs w:val="24"/>
          <w:highlight w:val="none"/>
          <w:lang w:val="en-US" w:eastAsia="zh-CN"/>
        </w:rPr>
        <w:t>6</w:t>
      </w:r>
      <w:r>
        <w:rPr>
          <w:rFonts w:ascii="Times New Roman" w:hAnsi="Times New Roman" w:cs="Times New Roman"/>
          <w:color w:val="auto"/>
          <w:sz w:val="24"/>
          <w:szCs w:val="24"/>
          <w:highlight w:val="none"/>
        </w:rPr>
        <w:t>月对项目进行了现场勘查，编制了验收监测方案，在此基础上编写了此竣工验收监测报告。</w:t>
      </w:r>
    </w:p>
    <w:p>
      <w:pPr>
        <w:rPr>
          <w:rFonts w:ascii="Times New Roman" w:hAnsi="Times New Roman" w:cs="Times New Roman"/>
          <w:color w:val="auto"/>
          <w:sz w:val="28"/>
          <w:szCs w:val="28"/>
          <w:highlight w:val="none"/>
        </w:rPr>
      </w:pPr>
      <w:bookmarkStart w:id="1" w:name="_Toc24289"/>
      <w:bookmarkStart w:id="2" w:name="_Toc31590"/>
      <w:bookmarkStart w:id="3" w:name="_Toc17964"/>
      <w:bookmarkStart w:id="4" w:name="_Toc10262"/>
      <w:bookmarkStart w:id="5" w:name="_Toc18605"/>
      <w:r>
        <w:rPr>
          <w:rFonts w:ascii="Times New Roman" w:hAnsi="Times New Roman" w:cs="Times New Roman"/>
          <w:color w:val="auto"/>
          <w:sz w:val="28"/>
          <w:szCs w:val="28"/>
          <w:highlight w:val="none"/>
        </w:rPr>
        <w:br w:type="page"/>
      </w:r>
    </w:p>
    <w:p>
      <w:pPr>
        <w:pStyle w:val="3"/>
        <w:numPr>
          <w:ilvl w:val="0"/>
          <w:numId w:val="3"/>
        </w:numPr>
        <w:spacing w:before="0" w:after="0" w:line="360" w:lineRule="auto"/>
        <w:jc w:val="left"/>
        <w:rPr>
          <w:rFonts w:ascii="Times New Roman" w:hAnsi="Times New Roman" w:cs="Times New Roman"/>
          <w:color w:val="auto"/>
          <w:sz w:val="28"/>
          <w:szCs w:val="28"/>
          <w:highlight w:val="none"/>
        </w:rPr>
      </w:pPr>
      <w:bookmarkStart w:id="6" w:name="_Toc28335"/>
      <w:r>
        <w:rPr>
          <w:rFonts w:ascii="Times New Roman" w:hAnsi="Times New Roman" w:cs="Times New Roman"/>
          <w:color w:val="auto"/>
          <w:sz w:val="28"/>
          <w:szCs w:val="28"/>
          <w:highlight w:val="none"/>
        </w:rPr>
        <w:t>验收依据</w:t>
      </w:r>
      <w:bookmarkEnd w:id="1"/>
      <w:bookmarkEnd w:id="2"/>
      <w:bookmarkEnd w:id="3"/>
      <w:bookmarkEnd w:id="6"/>
    </w:p>
    <w:p>
      <w:pPr>
        <w:pStyle w:val="4"/>
        <w:spacing w:before="0" w:after="0" w:line="360" w:lineRule="auto"/>
        <w:rPr>
          <w:rFonts w:ascii="Times New Roman" w:hAnsi="Times New Roman" w:cs="Times New Roman" w:eastAsiaTheme="minorEastAsia"/>
          <w:color w:val="auto"/>
          <w:highlight w:val="none"/>
        </w:rPr>
      </w:pPr>
      <w:bookmarkStart w:id="7" w:name="_Toc15673"/>
      <w:bookmarkStart w:id="8" w:name="_Toc4686"/>
      <w:bookmarkStart w:id="9" w:name="_Toc25470"/>
      <w:bookmarkStart w:id="10" w:name="_Toc377"/>
      <w:r>
        <w:rPr>
          <w:rFonts w:ascii="Times New Roman" w:hAnsi="Times New Roman" w:cs="Times New Roman" w:eastAsiaTheme="minorEastAsia"/>
          <w:color w:val="auto"/>
          <w:sz w:val="24"/>
          <w:szCs w:val="24"/>
          <w:highlight w:val="none"/>
        </w:rPr>
        <w:t>2.1</w:t>
      </w:r>
      <w:r>
        <w:rPr>
          <w:rFonts w:ascii="Times New Roman" w:hAnsi="Times New Roman" w:cs="Times New Roman" w:eastAsiaTheme="minorEastAsia"/>
          <w:bCs w:val="0"/>
          <w:color w:val="auto"/>
          <w:sz w:val="24"/>
          <w:szCs w:val="24"/>
          <w:highlight w:val="none"/>
        </w:rPr>
        <w:t>建设项目环境保护相关法律、法规、规章和规范</w:t>
      </w:r>
      <w:bookmarkEnd w:id="7"/>
      <w:bookmarkEnd w:id="8"/>
      <w:bookmarkEnd w:id="9"/>
      <w:bookmarkEnd w:id="10"/>
    </w:p>
    <w:p>
      <w:pPr>
        <w:spacing w:line="360" w:lineRule="auto"/>
        <w:ind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 xml:space="preserve">1、《中华人民共和国环境保护法》（2014年4月24日修订，2015年1月1日起施行）； </w:t>
      </w:r>
    </w:p>
    <w:p>
      <w:pPr>
        <w:spacing w:line="360" w:lineRule="auto"/>
        <w:ind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2、《建设项目环境保护管理条例》，国务院第682号令，2017年7月。</w:t>
      </w:r>
    </w:p>
    <w:p>
      <w:pPr>
        <w:pStyle w:val="4"/>
        <w:spacing w:before="0" w:after="0" w:line="360" w:lineRule="auto"/>
        <w:rPr>
          <w:rFonts w:ascii="Times New Roman" w:hAnsi="Times New Roman" w:cs="Times New Roman" w:eastAsiaTheme="minorEastAsia"/>
          <w:color w:val="auto"/>
          <w:sz w:val="24"/>
          <w:szCs w:val="24"/>
          <w:highlight w:val="none"/>
        </w:rPr>
      </w:pPr>
      <w:bookmarkStart w:id="11" w:name="_Toc10427"/>
      <w:bookmarkStart w:id="12" w:name="_Toc26970"/>
      <w:bookmarkStart w:id="13" w:name="_Toc24028"/>
      <w:bookmarkStart w:id="14" w:name="_Toc9661"/>
      <w:r>
        <w:rPr>
          <w:rFonts w:ascii="Times New Roman" w:hAnsi="Times New Roman" w:cs="Times New Roman" w:eastAsiaTheme="minorEastAsia"/>
          <w:color w:val="auto"/>
          <w:sz w:val="24"/>
          <w:szCs w:val="24"/>
          <w:highlight w:val="none"/>
        </w:rPr>
        <w:t>2.2</w:t>
      </w:r>
      <w:r>
        <w:rPr>
          <w:rFonts w:ascii="Times New Roman" w:hAnsi="Times New Roman" w:cs="Times New Roman" w:eastAsiaTheme="minorEastAsia"/>
          <w:bCs w:val="0"/>
          <w:color w:val="auto"/>
          <w:sz w:val="24"/>
          <w:szCs w:val="24"/>
          <w:highlight w:val="none"/>
        </w:rPr>
        <w:t>建设项目竣工环境保护技术规范</w:t>
      </w:r>
      <w:bookmarkEnd w:id="11"/>
      <w:bookmarkEnd w:id="12"/>
      <w:bookmarkEnd w:id="13"/>
      <w:bookmarkEnd w:id="14"/>
    </w:p>
    <w:p>
      <w:pPr>
        <w:spacing w:line="360" w:lineRule="auto"/>
        <w:ind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1、《建设项目竣工环境保护验收暂行办法》，环境保护部，2017年12月；</w:t>
      </w:r>
    </w:p>
    <w:p>
      <w:pPr>
        <w:spacing w:line="360" w:lineRule="auto"/>
        <w:ind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2、《</w:t>
      </w:r>
      <w:r>
        <w:rPr>
          <w:rFonts w:ascii="Times New Roman" w:hAnsi="Times New Roman" w:cs="Times New Roman"/>
          <w:bCs/>
          <w:color w:val="auto"/>
          <w:kern w:val="0"/>
          <w:sz w:val="24"/>
          <w:szCs w:val="24"/>
          <w:highlight w:val="none"/>
        </w:rPr>
        <w:t>关于规范建设单位自主开展建设项目竣工环境保护验收的通知（征求意见稿）</w:t>
      </w:r>
      <w:r>
        <w:rPr>
          <w:rFonts w:ascii="Times New Roman" w:hAnsi="Times New Roman" w:cs="Times New Roman"/>
          <w:color w:val="auto"/>
          <w:sz w:val="24"/>
          <w:szCs w:val="24"/>
          <w:highlight w:val="none"/>
        </w:rPr>
        <w:t>》，环境保护部，2017年10月；</w:t>
      </w:r>
    </w:p>
    <w:p>
      <w:pPr>
        <w:spacing w:line="360" w:lineRule="auto"/>
        <w:ind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3、《关于发布&lt;建设项目竣工环境保护验收技术指南 污染影响类&gt;的公告》（公告2018年第9号），生态环境部办公厅，2018年5月16日。</w:t>
      </w:r>
    </w:p>
    <w:p>
      <w:pPr>
        <w:pStyle w:val="4"/>
        <w:spacing w:before="0" w:after="0" w:line="360" w:lineRule="auto"/>
        <w:rPr>
          <w:rFonts w:ascii="Times New Roman" w:hAnsi="Times New Roman" w:cs="Times New Roman" w:eastAsiaTheme="minorEastAsia"/>
          <w:color w:val="auto"/>
          <w:sz w:val="24"/>
          <w:szCs w:val="24"/>
          <w:highlight w:val="none"/>
        </w:rPr>
      </w:pPr>
      <w:bookmarkStart w:id="15" w:name="_Toc14361"/>
      <w:r>
        <w:rPr>
          <w:rFonts w:ascii="Times New Roman" w:hAnsi="Times New Roman" w:cs="Times New Roman" w:eastAsiaTheme="minorEastAsia"/>
          <w:color w:val="auto"/>
          <w:sz w:val="24"/>
          <w:szCs w:val="24"/>
          <w:highlight w:val="none"/>
        </w:rPr>
        <w:t>2.3建设项目环境影响报告书（表）及审批部门审批决定</w:t>
      </w:r>
      <w:bookmarkEnd w:id="4"/>
      <w:bookmarkEnd w:id="5"/>
      <w:bookmarkEnd w:id="15"/>
    </w:p>
    <w:p>
      <w:pPr>
        <w:spacing w:line="360" w:lineRule="auto"/>
        <w:ind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1、《</w:t>
      </w:r>
      <w:r>
        <w:rPr>
          <w:rFonts w:hint="eastAsia" w:ascii="Times New Roman" w:hAnsi="Times New Roman" w:cs="Times New Roman"/>
          <w:color w:val="auto"/>
          <w:sz w:val="24"/>
          <w:szCs w:val="24"/>
          <w:highlight w:val="none"/>
          <w:lang w:eastAsia="zh-CN"/>
        </w:rPr>
        <w:t>宁波市鄞州勤锦金属回收有限公司年回收拆解3万台报废汽车扩建项目环境影响报告书</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宁波市树泰环境技术有限公司</w:t>
      </w:r>
      <w:r>
        <w:rPr>
          <w:rFonts w:ascii="Times New Roman" w:hAnsi="Times New Roman" w:cs="Times New Roman"/>
          <w:color w:val="auto"/>
          <w:sz w:val="24"/>
          <w:szCs w:val="24"/>
          <w:highlight w:val="none"/>
        </w:rPr>
        <w:t>，20</w:t>
      </w:r>
      <w:r>
        <w:rPr>
          <w:rFonts w:hint="eastAsia" w:ascii="Times New Roman" w:hAnsi="Times New Roman" w:cs="Times New Roman"/>
          <w:color w:val="auto"/>
          <w:sz w:val="24"/>
          <w:szCs w:val="24"/>
          <w:highlight w:val="none"/>
          <w:lang w:val="en-US" w:eastAsia="zh-CN"/>
        </w:rPr>
        <w:t>20</w:t>
      </w:r>
      <w:r>
        <w:rPr>
          <w:rFonts w:ascii="Times New Roman" w:hAnsi="Times New Roman" w:cs="Times New Roman"/>
          <w:color w:val="auto"/>
          <w:sz w:val="24"/>
          <w:szCs w:val="24"/>
          <w:highlight w:val="none"/>
        </w:rPr>
        <w:t>年</w:t>
      </w:r>
      <w:r>
        <w:rPr>
          <w:rFonts w:hint="eastAsia" w:ascii="Times New Roman" w:hAnsi="Times New Roman" w:cs="Times New Roman"/>
          <w:color w:val="auto"/>
          <w:sz w:val="24"/>
          <w:szCs w:val="24"/>
          <w:highlight w:val="none"/>
          <w:lang w:val="en-US" w:eastAsia="zh-CN"/>
        </w:rPr>
        <w:t>8</w:t>
      </w:r>
      <w:r>
        <w:rPr>
          <w:rFonts w:ascii="Times New Roman" w:hAnsi="Times New Roman" w:cs="Times New Roman"/>
          <w:color w:val="auto"/>
          <w:sz w:val="24"/>
          <w:szCs w:val="24"/>
          <w:highlight w:val="none"/>
        </w:rPr>
        <w:t>月；</w:t>
      </w:r>
    </w:p>
    <w:p>
      <w:pPr>
        <w:spacing w:line="360" w:lineRule="auto"/>
        <w:ind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2、关于《</w:t>
      </w:r>
      <w:r>
        <w:rPr>
          <w:rFonts w:hint="eastAsia" w:ascii="Times New Roman" w:hAnsi="Times New Roman" w:cs="Times New Roman"/>
          <w:color w:val="auto"/>
          <w:sz w:val="24"/>
          <w:szCs w:val="24"/>
          <w:highlight w:val="none"/>
          <w:lang w:eastAsia="zh-CN"/>
        </w:rPr>
        <w:t>宁波市鄞州勤锦金属回收有限公司年回收拆解3万台报废汽车扩建项目环境影响报告书</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rPr>
        <w:t>的</w:t>
      </w:r>
      <w:r>
        <w:rPr>
          <w:rFonts w:hint="eastAsia" w:ascii="Times New Roman" w:hAnsi="Times New Roman" w:cs="Times New Roman"/>
          <w:color w:val="auto"/>
          <w:sz w:val="24"/>
          <w:szCs w:val="24"/>
          <w:highlight w:val="none"/>
          <w:lang w:eastAsia="zh-CN"/>
        </w:rPr>
        <w:t>批复</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甬鄞环建【2020】8号</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宁波市生态环境局</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2020年11月03日</w:t>
      </w:r>
      <w:r>
        <w:rPr>
          <w:rFonts w:ascii="Times New Roman" w:hAnsi="Times New Roman" w:cs="Times New Roman"/>
          <w:color w:val="auto"/>
          <w:sz w:val="24"/>
          <w:szCs w:val="24"/>
          <w:highlight w:val="none"/>
        </w:rPr>
        <w:t>；</w:t>
      </w:r>
    </w:p>
    <w:p>
      <w:pPr>
        <w:pStyle w:val="4"/>
        <w:spacing w:before="0" w:after="0" w:line="360" w:lineRule="auto"/>
        <w:rPr>
          <w:rFonts w:ascii="Times New Roman" w:hAnsi="Times New Roman" w:cs="Times New Roman" w:eastAsiaTheme="minorEastAsia"/>
          <w:color w:val="auto"/>
          <w:highlight w:val="none"/>
        </w:rPr>
      </w:pPr>
      <w:bookmarkStart w:id="16" w:name="_Toc17303"/>
      <w:bookmarkStart w:id="17" w:name="_Toc4641"/>
      <w:r>
        <w:rPr>
          <w:rFonts w:ascii="Times New Roman" w:hAnsi="Times New Roman" w:cs="Times New Roman" w:eastAsiaTheme="minorEastAsia"/>
          <w:color w:val="auto"/>
          <w:sz w:val="24"/>
          <w:szCs w:val="24"/>
          <w:highlight w:val="none"/>
        </w:rPr>
        <w:t>2.4其他相关文件</w:t>
      </w:r>
      <w:bookmarkEnd w:id="16"/>
      <w:bookmarkEnd w:id="17"/>
    </w:p>
    <w:p>
      <w:pPr>
        <w:numPr>
          <w:ilvl w:val="0"/>
          <w:numId w:val="4"/>
        </w:num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w:t>
      </w:r>
      <w:r>
        <w:rPr>
          <w:rFonts w:hint="eastAsia" w:ascii="Times New Roman" w:hAnsi="Times New Roman" w:cs="Times New Roman"/>
          <w:color w:val="auto"/>
          <w:sz w:val="24"/>
          <w:szCs w:val="24"/>
          <w:highlight w:val="none"/>
          <w:lang w:eastAsia="zh-CN"/>
        </w:rPr>
        <w:t>宁波市鄞州勤锦金属回收有限公司年回收拆解3万台报废汽车扩建项目</w:t>
      </w:r>
      <w:r>
        <w:rPr>
          <w:rFonts w:ascii="Times New Roman" w:hAnsi="Times New Roman" w:cs="Times New Roman"/>
          <w:color w:val="auto"/>
          <w:sz w:val="24"/>
          <w:highlight w:val="none"/>
        </w:rPr>
        <w:t>监测方案》，</w:t>
      </w:r>
      <w:r>
        <w:rPr>
          <w:rFonts w:hint="eastAsia" w:ascii="Times New Roman" w:hAnsi="Times New Roman" w:cs="Times New Roman"/>
          <w:color w:val="auto"/>
          <w:sz w:val="24"/>
          <w:highlight w:val="none"/>
          <w:lang w:eastAsia="zh-CN"/>
        </w:rPr>
        <w:t>宁波市树正环保工程有限公司</w:t>
      </w:r>
      <w:r>
        <w:rPr>
          <w:rFonts w:ascii="Times New Roman" w:hAnsi="Times New Roman" w:cs="Times New Roman"/>
          <w:color w:val="auto"/>
          <w:sz w:val="24"/>
          <w:highlight w:val="none"/>
        </w:rPr>
        <w:t>，20</w:t>
      </w:r>
      <w:r>
        <w:rPr>
          <w:rFonts w:hint="eastAsia" w:ascii="Times New Roman" w:hAnsi="Times New Roman" w:cs="Times New Roman"/>
          <w:color w:val="auto"/>
          <w:sz w:val="24"/>
          <w:highlight w:val="none"/>
        </w:rPr>
        <w:t>2</w:t>
      </w:r>
      <w:r>
        <w:rPr>
          <w:rFonts w:hint="eastAsia" w:ascii="Times New Roman" w:hAnsi="Times New Roman" w:cs="Times New Roman"/>
          <w:color w:val="auto"/>
          <w:sz w:val="24"/>
          <w:highlight w:val="none"/>
          <w:lang w:val="en-US" w:eastAsia="zh-CN"/>
        </w:rPr>
        <w:t>1</w:t>
      </w:r>
      <w:r>
        <w:rPr>
          <w:rFonts w:ascii="Times New Roman" w:hAnsi="Times New Roman" w:cs="Times New Roman"/>
          <w:color w:val="auto"/>
          <w:sz w:val="24"/>
          <w:highlight w:val="none"/>
        </w:rPr>
        <w:t>年</w:t>
      </w:r>
      <w:r>
        <w:rPr>
          <w:rFonts w:hint="eastAsia" w:ascii="Times New Roman" w:hAnsi="Times New Roman" w:cs="Times New Roman"/>
          <w:color w:val="auto"/>
          <w:sz w:val="24"/>
          <w:highlight w:val="none"/>
          <w:lang w:val="en-US" w:eastAsia="zh-CN"/>
        </w:rPr>
        <w:t>6</w:t>
      </w:r>
      <w:r>
        <w:rPr>
          <w:rFonts w:ascii="Times New Roman" w:hAnsi="Times New Roman" w:cs="Times New Roman"/>
          <w:color w:val="auto"/>
          <w:sz w:val="24"/>
          <w:highlight w:val="none"/>
        </w:rPr>
        <w:t>月。</w:t>
      </w:r>
    </w:p>
    <w:p>
      <w:pPr>
        <w:rPr>
          <w:rFonts w:ascii="Times New Roman" w:hAnsi="Times New Roman" w:cs="Times New Roman"/>
          <w:color w:val="auto"/>
          <w:sz w:val="28"/>
          <w:szCs w:val="28"/>
          <w:highlight w:val="none"/>
        </w:rPr>
      </w:pPr>
      <w:r>
        <w:rPr>
          <w:rFonts w:ascii="Times New Roman" w:hAnsi="Times New Roman" w:cs="Times New Roman"/>
          <w:color w:val="auto"/>
          <w:sz w:val="28"/>
          <w:szCs w:val="28"/>
          <w:highlight w:val="none"/>
        </w:rPr>
        <w:br w:type="page"/>
      </w:r>
    </w:p>
    <w:p>
      <w:pPr>
        <w:pStyle w:val="3"/>
        <w:spacing w:before="0" w:after="0" w:line="360" w:lineRule="auto"/>
        <w:jc w:val="left"/>
        <w:rPr>
          <w:rFonts w:ascii="Times New Roman" w:hAnsi="Times New Roman" w:cs="Times New Roman"/>
          <w:color w:val="auto"/>
          <w:sz w:val="28"/>
          <w:szCs w:val="28"/>
          <w:highlight w:val="none"/>
        </w:rPr>
      </w:pPr>
      <w:bookmarkStart w:id="18" w:name="_Toc12859"/>
      <w:r>
        <w:rPr>
          <w:rFonts w:ascii="Times New Roman" w:hAnsi="Times New Roman" w:cs="Times New Roman"/>
          <w:color w:val="auto"/>
          <w:sz w:val="28"/>
          <w:szCs w:val="28"/>
          <w:highlight w:val="none"/>
        </w:rPr>
        <w:t>3、工程建设情况</w:t>
      </w:r>
      <w:bookmarkEnd w:id="18"/>
    </w:p>
    <w:p>
      <w:pPr>
        <w:pStyle w:val="4"/>
        <w:spacing w:before="0" w:after="0" w:line="360" w:lineRule="auto"/>
        <w:rPr>
          <w:rFonts w:ascii="Times New Roman" w:hAnsi="Times New Roman" w:cs="Times New Roman" w:eastAsiaTheme="minorEastAsia"/>
          <w:color w:val="auto"/>
          <w:highlight w:val="none"/>
        </w:rPr>
      </w:pPr>
      <w:bookmarkStart w:id="19" w:name="_Toc19977"/>
      <w:r>
        <w:rPr>
          <w:rFonts w:ascii="Times New Roman" w:hAnsi="Times New Roman" w:cs="Times New Roman" w:eastAsiaTheme="minorEastAsia"/>
          <w:color w:val="auto"/>
          <w:sz w:val="24"/>
          <w:szCs w:val="24"/>
          <w:highlight w:val="none"/>
        </w:rPr>
        <w:t>3.1地理位置及平面布置图</w:t>
      </w:r>
      <w:bookmarkEnd w:id="19"/>
    </w:p>
    <w:p>
      <w:pPr>
        <w:spacing w:line="360" w:lineRule="auto"/>
        <w:ind w:firstLine="480" w:firstLineChars="200"/>
        <w:rPr>
          <w:rFonts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项目位于</w:t>
      </w:r>
      <w:r>
        <w:rPr>
          <w:rFonts w:hint="default" w:ascii="Times New Roman" w:hAnsi="Times New Roman" w:cs="Times New Roman"/>
          <w:color w:val="auto"/>
          <w:sz w:val="24"/>
          <w:szCs w:val="24"/>
          <w:highlight w:val="none"/>
          <w:lang w:eastAsia="zh-CN"/>
        </w:rPr>
        <w:t>宁波市鄞州区五乡镇新诚村</w:t>
      </w:r>
      <w:r>
        <w:rPr>
          <w:rFonts w:hint="eastAsia" w:ascii="Times New Roman" w:hAnsi="Times New Roman" w:cs="Times New Roman"/>
          <w:color w:val="auto"/>
          <w:sz w:val="24"/>
          <w:szCs w:val="24"/>
          <w:highlight w:val="none"/>
        </w:rPr>
        <w:t>，项目</w:t>
      </w:r>
      <w:r>
        <w:rPr>
          <w:rFonts w:hint="default" w:ascii="Times New Roman" w:hAnsi="Times New Roman" w:cs="Times New Roman"/>
          <w:color w:val="auto"/>
          <w:sz w:val="24"/>
          <w:szCs w:val="24"/>
          <w:highlight w:val="none"/>
        </w:rPr>
        <w:t>东侧</w:t>
      </w:r>
      <w:r>
        <w:rPr>
          <w:rFonts w:hint="eastAsia" w:ascii="Times New Roman" w:hAnsi="Times New Roman" w:cs="Times New Roman"/>
          <w:color w:val="auto"/>
          <w:sz w:val="24"/>
          <w:szCs w:val="24"/>
          <w:highlight w:val="none"/>
          <w:lang w:eastAsia="zh-CN"/>
        </w:rPr>
        <w:t>为</w:t>
      </w:r>
      <w:r>
        <w:rPr>
          <w:rFonts w:hint="default" w:ascii="Times New Roman" w:hAnsi="Times New Roman" w:cs="Times New Roman"/>
          <w:color w:val="auto"/>
          <w:sz w:val="24"/>
          <w:szCs w:val="24"/>
          <w:highlight w:val="none"/>
          <w:lang w:eastAsia="zh-CN"/>
        </w:rPr>
        <w:t>果真物流</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南侧</w:t>
      </w:r>
      <w:r>
        <w:rPr>
          <w:rFonts w:hint="eastAsia" w:ascii="Times New Roman" w:hAnsi="Times New Roman" w:cs="Times New Roman"/>
          <w:color w:val="auto"/>
          <w:sz w:val="24"/>
          <w:szCs w:val="24"/>
          <w:highlight w:val="none"/>
          <w:lang w:eastAsia="zh-CN"/>
        </w:rPr>
        <w:t>为</w:t>
      </w:r>
      <w:r>
        <w:rPr>
          <w:rFonts w:hint="default" w:ascii="Times New Roman" w:hAnsi="Times New Roman" w:cs="Times New Roman"/>
          <w:color w:val="auto"/>
          <w:sz w:val="24"/>
          <w:szCs w:val="24"/>
          <w:highlight w:val="none"/>
        </w:rPr>
        <w:t>隔</w:t>
      </w:r>
      <w:r>
        <w:rPr>
          <w:rFonts w:hint="default" w:ascii="Times New Roman" w:hAnsi="Times New Roman" w:cs="Times New Roman"/>
          <w:color w:val="auto"/>
          <w:sz w:val="24"/>
          <w:szCs w:val="24"/>
          <w:highlight w:val="none"/>
          <w:lang w:eastAsia="zh-CN"/>
        </w:rPr>
        <w:t>金通</w:t>
      </w:r>
      <w:r>
        <w:rPr>
          <w:rFonts w:hint="default" w:ascii="Times New Roman" w:hAnsi="Times New Roman" w:cs="Times New Roman"/>
          <w:color w:val="auto"/>
          <w:sz w:val="24"/>
          <w:szCs w:val="24"/>
          <w:highlight w:val="none"/>
        </w:rPr>
        <w:t>路为</w:t>
      </w:r>
      <w:r>
        <w:rPr>
          <w:rFonts w:hint="default" w:ascii="Times New Roman" w:hAnsi="Times New Roman" w:cs="Times New Roman"/>
          <w:color w:val="auto"/>
          <w:sz w:val="24"/>
          <w:szCs w:val="24"/>
          <w:highlight w:val="none"/>
          <w:lang w:eastAsia="zh-CN"/>
        </w:rPr>
        <w:t>宁波嘉晟机箱有限公司</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西侧</w:t>
      </w:r>
      <w:r>
        <w:rPr>
          <w:rFonts w:hint="eastAsia" w:ascii="Times New Roman" w:hAnsi="Times New Roman" w:cs="Times New Roman"/>
          <w:color w:val="auto"/>
          <w:sz w:val="24"/>
          <w:szCs w:val="24"/>
          <w:highlight w:val="none"/>
          <w:lang w:eastAsia="zh-CN"/>
        </w:rPr>
        <w:t>为</w:t>
      </w:r>
      <w:r>
        <w:rPr>
          <w:rFonts w:hint="default" w:ascii="Times New Roman" w:hAnsi="Times New Roman" w:cs="Times New Roman"/>
          <w:color w:val="auto"/>
          <w:sz w:val="24"/>
          <w:szCs w:val="24"/>
          <w:highlight w:val="none"/>
        </w:rPr>
        <w:t>宁波凯信服饰股份有限公司</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北侧</w:t>
      </w:r>
      <w:r>
        <w:rPr>
          <w:rFonts w:hint="eastAsia" w:ascii="Times New Roman" w:hAnsi="Times New Roman" w:cs="Times New Roman"/>
          <w:color w:val="auto"/>
          <w:sz w:val="24"/>
          <w:szCs w:val="24"/>
          <w:highlight w:val="none"/>
          <w:lang w:eastAsia="zh-CN"/>
        </w:rPr>
        <w:t>为</w:t>
      </w:r>
      <w:r>
        <w:rPr>
          <w:rFonts w:hint="default" w:ascii="Times New Roman" w:hAnsi="Times New Roman" w:cs="Times New Roman"/>
          <w:color w:val="auto"/>
          <w:sz w:val="24"/>
          <w:szCs w:val="24"/>
          <w:highlight w:val="none"/>
        </w:rPr>
        <w:t>宁波凯信服饰股份有限公司</w:t>
      </w:r>
      <w:r>
        <w:rPr>
          <w:rFonts w:hint="default" w:ascii="Times New Roman" w:hAnsi="Times New Roman" w:cs="Times New Roman"/>
          <w:color w:val="auto"/>
          <w:sz w:val="24"/>
          <w:szCs w:val="24"/>
          <w:highlight w:val="none"/>
          <w:lang w:eastAsia="zh-CN"/>
        </w:rPr>
        <w:t>。</w:t>
      </w:r>
      <w:r>
        <w:rPr>
          <w:rFonts w:ascii="Times New Roman" w:hAnsi="Times New Roman" w:cs="Times New Roman"/>
          <w:color w:val="auto"/>
          <w:sz w:val="24"/>
          <w:szCs w:val="24"/>
          <w:highlight w:val="none"/>
        </w:rPr>
        <w:t>项目地理位置见图3-1，项目周边位置见图3-2，项目厂区平面布置及监测点位见图3-3。</w:t>
      </w:r>
    </w:p>
    <w:p>
      <w:pPr>
        <w:spacing w:line="360" w:lineRule="auto"/>
        <w:rPr>
          <w:rFonts w:ascii="Times New Roman" w:hAnsi="Times New Roman" w:cs="Times New Roman"/>
          <w:color w:val="auto"/>
          <w:sz w:val="24"/>
          <w:szCs w:val="24"/>
          <w:highlight w:val="none"/>
        </w:rPr>
      </w:pPr>
      <w:r>
        <w:rPr>
          <w:color w:val="auto"/>
          <w:sz w:val="21"/>
          <w:highlight w:val="none"/>
        </w:rPr>
        <mc:AlternateContent>
          <mc:Choice Requires="wps">
            <w:drawing>
              <wp:anchor distT="0" distB="0" distL="114300" distR="114300" simplePos="0" relativeHeight="251660288" behindDoc="0" locked="0" layoutInCell="1" allowOverlap="1">
                <wp:simplePos x="0" y="0"/>
                <wp:positionH relativeFrom="column">
                  <wp:posOffset>2819400</wp:posOffset>
                </wp:positionH>
                <wp:positionV relativeFrom="paragraph">
                  <wp:posOffset>1681480</wp:posOffset>
                </wp:positionV>
                <wp:extent cx="876300" cy="266700"/>
                <wp:effectExtent l="4445" t="4445" r="14605" b="71755"/>
                <wp:wrapNone/>
                <wp:docPr id="11" name="自选图形 485"/>
                <wp:cNvGraphicFramePr/>
                <a:graphic xmlns:a="http://schemas.openxmlformats.org/drawingml/2006/main">
                  <a:graphicData uri="http://schemas.microsoft.com/office/word/2010/wordprocessingShape">
                    <wps:wsp>
                      <wps:cNvSpPr/>
                      <wps:spPr>
                        <a:xfrm>
                          <a:off x="0" y="0"/>
                          <a:ext cx="876300" cy="266700"/>
                        </a:xfrm>
                        <a:prstGeom prst="wedgeRectCallout">
                          <a:avLst>
                            <a:gd name="adj1" fmla="val -43750"/>
                            <a:gd name="adj2" fmla="val 70000"/>
                          </a:avLst>
                        </a:prstGeom>
                        <a:noFill/>
                        <a:ln w="9525" cap="flat" cmpd="sng">
                          <a:solidFill>
                            <a:srgbClr val="FF0000"/>
                          </a:solidFill>
                          <a:prstDash val="solid"/>
                          <a:miter/>
                          <a:headEnd type="none" w="med" len="med"/>
                          <a:tailEnd type="none" w="med" len="med"/>
                        </a:ln>
                      </wps:spPr>
                      <wps:txbx>
                        <w:txbxContent>
                          <w:p>
                            <w:pPr>
                              <w:rPr>
                                <w:rFonts w:hint="eastAsia" w:eastAsiaTheme="minorEastAsia"/>
                                <w:lang w:eastAsia="zh-CN"/>
                              </w:rPr>
                            </w:pPr>
                            <w:r>
                              <w:rPr>
                                <w:rFonts w:hint="eastAsia"/>
                                <w:lang w:eastAsia="zh-CN"/>
                              </w:rPr>
                              <w:t>项目所在地</w:t>
                            </w:r>
                          </w:p>
                        </w:txbxContent>
                      </wps:txbx>
                      <wps:bodyPr upright="1"/>
                    </wps:wsp>
                  </a:graphicData>
                </a:graphic>
              </wp:anchor>
            </w:drawing>
          </mc:Choice>
          <mc:Fallback>
            <w:pict>
              <v:shape id="自选图形 485" o:spid="_x0000_s1026" o:spt="61" type="#_x0000_t61" style="position:absolute;left:0pt;margin-left:222pt;margin-top:132.4pt;height:21pt;width:69pt;z-index:251660288;mso-width-relative:page;mso-height-relative:page;" filled="f" stroked="t" coordsize="21600,21600" o:gfxdata="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D4BaHbYAAAACwEAAA8AAAAAAAAAAQAgAAAAIgAAAGRycy9kb3ducmV2&#10;LnhtbFBLAQIUABQAAAAIAIdO4kC3dqaeNQIAAGYEAAAOAAAAAAAAAAEAIAAAACcBAABkcnMvZTJv&#10;RG9jLnhtbFBLBQYAAAAABgAGAFkBAADOBQAAAAA=&#10;" adj="1350,25920">
                <v:fill on="f" focussize="0,0"/>
                <v:stroke color="#FF0000" joinstyle="miter"/>
                <v:imagedata o:title=""/>
                <o:lock v:ext="edit" aspectratio="f"/>
                <v:textbox>
                  <w:txbxContent>
                    <w:p>
                      <w:pPr>
                        <w:rPr>
                          <w:rFonts w:hint="eastAsia" w:eastAsiaTheme="minorEastAsia"/>
                          <w:lang w:eastAsia="zh-CN"/>
                        </w:rPr>
                      </w:pPr>
                      <w:r>
                        <w:rPr>
                          <w:rFonts w:hint="eastAsia"/>
                          <w:lang w:eastAsia="zh-CN"/>
                        </w:rPr>
                        <w:t>项目所在地</w:t>
                      </w:r>
                    </w:p>
                  </w:txbxContent>
                </v:textbox>
              </v:shape>
            </w:pict>
          </mc:Fallback>
        </mc:AlternateContent>
      </w:r>
      <w:r>
        <w:rPr>
          <w:color w:val="auto"/>
          <w:highlight w:val="none"/>
        </w:rPr>
        <w:drawing>
          <wp:inline distT="0" distB="0" distL="114300" distR="114300">
            <wp:extent cx="5264150" cy="4570095"/>
            <wp:effectExtent l="0" t="0" r="12700" b="190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1"/>
                    <a:stretch>
                      <a:fillRect/>
                    </a:stretch>
                  </pic:blipFill>
                  <pic:spPr>
                    <a:xfrm>
                      <a:off x="0" y="0"/>
                      <a:ext cx="5264150" cy="4570095"/>
                    </a:xfrm>
                    <a:prstGeom prst="rect">
                      <a:avLst/>
                    </a:prstGeom>
                    <a:noFill/>
                    <a:ln>
                      <a:noFill/>
                    </a:ln>
                  </pic:spPr>
                </pic:pic>
              </a:graphicData>
            </a:graphic>
          </wp:inline>
        </w:drawing>
      </w:r>
    </w:p>
    <w:p>
      <w:pPr>
        <w:jc w:val="center"/>
        <w:rPr>
          <w:rFonts w:ascii="Times New Roman" w:hAnsi="Times New Roman" w:cs="Times New Roman"/>
          <w:b/>
          <w:color w:val="auto"/>
          <w:sz w:val="24"/>
          <w:szCs w:val="24"/>
          <w:highlight w:val="none"/>
        </w:rPr>
        <w:sectPr>
          <w:headerReference r:id="rId6" w:type="default"/>
          <w:footerReference r:id="rId7" w:type="default"/>
          <w:pgSz w:w="11906" w:h="16838"/>
          <w:pgMar w:top="1440" w:right="1803" w:bottom="1440" w:left="1803" w:header="680" w:footer="992" w:gutter="0"/>
          <w:pgBorders>
            <w:top w:val="none" w:sz="0" w:space="0"/>
            <w:left w:val="none" w:sz="0" w:space="0"/>
            <w:bottom w:val="none" w:sz="0" w:space="0"/>
            <w:right w:val="none" w:sz="0" w:space="0"/>
          </w:pgBorders>
          <w:pgNumType w:start="1"/>
          <w:cols w:space="0" w:num="1"/>
          <w:docGrid w:type="lines" w:linePitch="312" w:charSpace="0"/>
        </w:sectPr>
      </w:pPr>
      <w:r>
        <w:rPr>
          <w:rFonts w:ascii="Times New Roman" w:hAnsi="Times New Roman" w:cs="Times New Roman"/>
          <w:b/>
          <w:color w:val="auto"/>
          <w:sz w:val="24"/>
          <w:szCs w:val="24"/>
          <w:highlight w:val="none"/>
        </w:rPr>
        <w:t>图3</w:t>
      </w:r>
      <w:r>
        <w:rPr>
          <w:rFonts w:ascii="Times New Roman" w:hAnsi="Times New Roman" w:cs="Times New Roman"/>
          <w:b/>
          <w:color w:val="auto"/>
          <w:sz w:val="24"/>
          <w:highlight w:val="none"/>
        </w:rPr>
        <w:t>-</w:t>
      </w:r>
      <w:r>
        <w:rPr>
          <w:rFonts w:ascii="Times New Roman" w:hAnsi="Times New Roman" w:cs="Times New Roman"/>
          <w:b/>
          <w:color w:val="auto"/>
          <w:sz w:val="24"/>
          <w:szCs w:val="24"/>
          <w:highlight w:val="none"/>
        </w:rPr>
        <w:t>1项目</w:t>
      </w:r>
      <w:r>
        <w:rPr>
          <w:rFonts w:ascii="Times New Roman" w:hAnsi="Times New Roman" w:cs="Times New Roman"/>
          <w:b/>
          <w:color w:val="auto"/>
          <w:sz w:val="24"/>
          <w:highlight w:val="none"/>
        </w:rPr>
        <w:t>地理位置</w:t>
      </w:r>
      <w:r>
        <w:rPr>
          <w:rFonts w:ascii="Times New Roman" w:hAnsi="Times New Roman" w:cs="Times New Roman"/>
          <w:b/>
          <w:color w:val="auto"/>
          <w:sz w:val="24"/>
          <w:szCs w:val="24"/>
          <w:highlight w:val="none"/>
        </w:rPr>
        <w:t>图</w:t>
      </w:r>
    </w:p>
    <w:p>
      <w:pPr>
        <w:jc w:val="center"/>
        <w:rPr>
          <w:rFonts w:hint="eastAsia" w:ascii="Times New Roman" w:hAnsi="Times New Roman" w:cs="Times New Roman" w:eastAsiaTheme="minorEastAsia"/>
          <w:color w:val="auto"/>
          <w:highlight w:val="none"/>
          <w:lang w:eastAsia="zh-CN"/>
        </w:rPr>
      </w:pPr>
      <w:r>
        <w:rPr>
          <w:color w:val="auto"/>
          <w:sz w:val="21"/>
          <w:highlight w:val="none"/>
        </w:rPr>
        <mc:AlternateContent>
          <mc:Choice Requires="wps">
            <w:drawing>
              <wp:anchor distT="0" distB="0" distL="114300" distR="114300" simplePos="0" relativeHeight="251661312" behindDoc="0" locked="0" layoutInCell="1" allowOverlap="1">
                <wp:simplePos x="0" y="0"/>
                <wp:positionH relativeFrom="column">
                  <wp:posOffset>4218305</wp:posOffset>
                </wp:positionH>
                <wp:positionV relativeFrom="paragraph">
                  <wp:posOffset>2193925</wp:posOffset>
                </wp:positionV>
                <wp:extent cx="1009650" cy="304800"/>
                <wp:effectExtent l="0" t="0" r="0" b="0"/>
                <wp:wrapNone/>
                <wp:docPr id="12" name="文本框 486"/>
                <wp:cNvGraphicFramePr/>
                <a:graphic xmlns:a="http://schemas.openxmlformats.org/drawingml/2006/main">
                  <a:graphicData uri="http://schemas.microsoft.com/office/word/2010/wordprocessingShape">
                    <wps:wsp>
                      <wps:cNvSpPr txBox="1"/>
                      <wps:spPr>
                        <a:xfrm>
                          <a:off x="0" y="0"/>
                          <a:ext cx="1009650" cy="304800"/>
                        </a:xfrm>
                        <a:prstGeom prst="rect">
                          <a:avLst/>
                        </a:prstGeom>
                        <a:noFill/>
                        <a:ln>
                          <a:noFill/>
                        </a:ln>
                      </wps:spPr>
                      <wps:txbx>
                        <w:txbxContent>
                          <w:p>
                            <w:pPr>
                              <w:rPr>
                                <w:rFonts w:hint="eastAsia" w:eastAsiaTheme="minorEastAsia"/>
                                <w:b/>
                                <w:bCs/>
                                <w:color w:val="FFFF00"/>
                                <w:lang w:eastAsia="zh-CN"/>
                              </w:rPr>
                            </w:pPr>
                            <w:r>
                              <w:rPr>
                                <w:rFonts w:hint="eastAsia"/>
                                <w:b/>
                                <w:bCs/>
                                <w:color w:val="FFFF00"/>
                                <w:lang w:eastAsia="zh-CN"/>
                              </w:rPr>
                              <w:t>项目所在地</w:t>
                            </w:r>
                          </w:p>
                        </w:txbxContent>
                      </wps:txbx>
                      <wps:bodyPr upright="1"/>
                    </wps:wsp>
                  </a:graphicData>
                </a:graphic>
              </wp:anchor>
            </w:drawing>
          </mc:Choice>
          <mc:Fallback>
            <w:pict>
              <v:shape id="文本框 486" o:spid="_x0000_s1026" o:spt="202" type="#_x0000_t202" style="position:absolute;left:0pt;margin-left:332.15pt;margin-top:172.75pt;height:24pt;width:79.5pt;z-index:251661312;mso-width-relative:page;mso-height-relative:page;" filled="f" stroked="f" coordsize="21600,21600" o:gfxdata="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ZDdeY&#10;2AAAAAsBAAAPAAAAAAAAAAEAIAAAACIAAABkcnMvZG93bnJldi54bWxQSwECFAAUAAAACACHTuJA&#10;kKUZ568BAABRAwAADgAAAAAAAAABACAAAAAnAQAAZHJzL2Uyb0RvYy54bWxQSwUGAAAAAAYABgBZ&#10;AQAASAUAAAAA&#10;">
                <v:fill on="f" focussize="0,0"/>
                <v:stroke on="f"/>
                <v:imagedata o:title=""/>
                <o:lock v:ext="edit" aspectratio="f"/>
                <v:textbox>
                  <w:txbxContent>
                    <w:p>
                      <w:pPr>
                        <w:rPr>
                          <w:rFonts w:hint="eastAsia" w:eastAsiaTheme="minorEastAsia"/>
                          <w:b/>
                          <w:bCs/>
                          <w:color w:val="FFFF00"/>
                          <w:lang w:eastAsia="zh-CN"/>
                        </w:rPr>
                      </w:pPr>
                      <w:r>
                        <w:rPr>
                          <w:rFonts w:hint="eastAsia"/>
                          <w:b/>
                          <w:bCs/>
                          <w:color w:val="FFFF00"/>
                          <w:lang w:eastAsia="zh-CN"/>
                        </w:rPr>
                        <w:t>项目所在地</w:t>
                      </w:r>
                    </w:p>
                  </w:txbxContent>
                </v:textbox>
              </v:shape>
            </w:pict>
          </mc:Fallback>
        </mc:AlternateContent>
      </w:r>
      <w:r>
        <w:rPr>
          <w:rFonts w:hint="eastAsia" w:ascii="Times New Roman" w:hAnsi="Times New Roman" w:cs="Times New Roman" w:eastAsiaTheme="minorEastAsia"/>
          <w:color w:val="auto"/>
          <w:highlight w:val="none"/>
          <w:lang w:eastAsia="zh-CN"/>
        </w:rPr>
        <w:drawing>
          <wp:inline distT="0" distB="0" distL="114300" distR="114300">
            <wp:extent cx="7562850" cy="4839970"/>
            <wp:effectExtent l="0" t="0" r="0" b="17780"/>
            <wp:docPr id="8" name="图片 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片1"/>
                    <pic:cNvPicPr>
                      <a:picLocks noChangeAspect="1"/>
                    </pic:cNvPicPr>
                  </pic:nvPicPr>
                  <pic:blipFill>
                    <a:blip r:embed="rId12"/>
                    <a:stretch>
                      <a:fillRect/>
                    </a:stretch>
                  </pic:blipFill>
                  <pic:spPr>
                    <a:xfrm>
                      <a:off x="0" y="0"/>
                      <a:ext cx="7562850" cy="4839970"/>
                    </a:xfrm>
                    <a:prstGeom prst="rect">
                      <a:avLst/>
                    </a:prstGeom>
                  </pic:spPr>
                </pic:pic>
              </a:graphicData>
            </a:graphic>
          </wp:inline>
        </w:drawing>
      </w:r>
    </w:p>
    <w:p>
      <w:pPr>
        <w:jc w:val="center"/>
        <w:rPr>
          <w:rFonts w:ascii="Times New Roman" w:hAnsi="Times New Roman" w:cs="Times New Roman"/>
          <w:color w:val="auto"/>
          <w:highlight w:val="none"/>
        </w:rPr>
        <w:sectPr>
          <w:pgSz w:w="16838" w:h="11906" w:orient="landscape"/>
          <w:pgMar w:top="1803" w:right="1440" w:bottom="1803" w:left="1440" w:header="680" w:footer="992" w:gutter="0"/>
          <w:pgBorders>
            <w:top w:val="none" w:sz="0" w:space="0"/>
            <w:left w:val="none" w:sz="0" w:space="0"/>
            <w:bottom w:val="none" w:sz="0" w:space="0"/>
            <w:right w:val="none" w:sz="0" w:space="0"/>
          </w:pgBorders>
          <w:cols w:space="0" w:num="1"/>
          <w:docGrid w:type="lines" w:linePitch="312" w:charSpace="0"/>
        </w:sectPr>
      </w:pPr>
      <w:r>
        <w:rPr>
          <w:rFonts w:ascii="Times New Roman" w:hAnsi="Times New Roman" w:cs="Times New Roman"/>
          <w:b/>
          <w:color w:val="auto"/>
          <w:sz w:val="24"/>
          <w:szCs w:val="24"/>
          <w:highlight w:val="none"/>
        </w:rPr>
        <w:t>图3</w:t>
      </w:r>
      <w:r>
        <w:rPr>
          <w:rFonts w:ascii="Times New Roman" w:hAnsi="Times New Roman" w:cs="Times New Roman"/>
          <w:b/>
          <w:color w:val="auto"/>
          <w:sz w:val="24"/>
          <w:highlight w:val="none"/>
        </w:rPr>
        <w:t>-2</w:t>
      </w:r>
      <w:r>
        <w:rPr>
          <w:rFonts w:ascii="Times New Roman" w:hAnsi="Times New Roman" w:cs="Times New Roman"/>
          <w:b/>
          <w:color w:val="auto"/>
          <w:sz w:val="24"/>
          <w:szCs w:val="24"/>
          <w:highlight w:val="none"/>
        </w:rPr>
        <w:t>项目周边位置图</w:t>
      </w:r>
    </w:p>
    <w:p>
      <w:pPr>
        <w:jc w:val="center"/>
        <w:rPr>
          <w:rFonts w:ascii="Times New Roman" w:hAnsi="Times New Roman" w:cs="Times New Roman"/>
          <w:b/>
          <w:color w:val="auto"/>
          <w:sz w:val="24"/>
          <w:szCs w:val="24"/>
          <w:highlight w:val="none"/>
        </w:rPr>
      </w:pPr>
      <w:r>
        <w:rPr>
          <w:color w:val="auto"/>
          <w:highlight w:val="none"/>
        </w:rPr>
        <w:drawing>
          <wp:inline distT="0" distB="0" distL="114300" distR="114300">
            <wp:extent cx="5038090" cy="3596640"/>
            <wp:effectExtent l="0" t="0" r="3810" b="10160"/>
            <wp:docPr id="5" name="图片 1" descr="22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220125"/>
                    <pic:cNvPicPr>
                      <a:picLocks noChangeAspect="1"/>
                    </pic:cNvPicPr>
                  </pic:nvPicPr>
                  <pic:blipFill>
                    <a:blip r:embed="rId13"/>
                    <a:srcRect t="4630"/>
                    <a:stretch>
                      <a:fillRect/>
                    </a:stretch>
                  </pic:blipFill>
                  <pic:spPr>
                    <a:xfrm>
                      <a:off x="0" y="0"/>
                      <a:ext cx="5038090" cy="3596640"/>
                    </a:xfrm>
                    <a:prstGeom prst="rect">
                      <a:avLst/>
                    </a:prstGeom>
                    <a:noFill/>
                    <a:ln>
                      <a:noFill/>
                    </a:ln>
                  </pic:spPr>
                </pic:pic>
              </a:graphicData>
            </a:graphic>
          </wp:inline>
        </w:drawing>
      </w:r>
    </w:p>
    <w:p>
      <w:pPr>
        <w:jc w:val="center"/>
        <w:rPr>
          <w:rFonts w:hint="eastAsia"/>
          <w:b w:val="0"/>
          <w:bCs/>
          <w:color w:val="auto"/>
          <w:sz w:val="18"/>
          <w:szCs w:val="18"/>
          <w:highlight w:val="none"/>
        </w:rPr>
      </w:pPr>
      <w:r>
        <w:rPr>
          <w:rFonts w:hint="eastAsia"/>
          <w:b w:val="0"/>
          <w:bCs/>
          <w:color w:val="auto"/>
          <w:sz w:val="18"/>
          <w:szCs w:val="18"/>
          <w:highlight w:val="none"/>
        </w:rPr>
        <w:t>注：○-无组织废气采样点；★-废水采样点；▲-工业企业厂界噪声检测点</w:t>
      </w:r>
    </w:p>
    <w:p>
      <w:pPr>
        <w:pStyle w:val="54"/>
        <w:spacing w:line="440" w:lineRule="exact"/>
        <w:ind w:firstLine="0" w:firstLineChars="0"/>
        <w:jc w:val="center"/>
        <w:rPr>
          <w:rFonts w:ascii="Times New Roman" w:hAnsi="Times New Roman" w:cs="Times New Roman"/>
          <w:b/>
          <w:color w:val="auto"/>
          <w:highlight w:val="none"/>
        </w:rPr>
      </w:pPr>
      <w:r>
        <w:rPr>
          <w:rFonts w:ascii="Times New Roman" w:hAnsi="Times New Roman" w:cs="Times New Roman"/>
          <w:b/>
          <w:color w:val="auto"/>
          <w:highlight w:val="none"/>
        </w:rPr>
        <w:t>图3-3厂区平面布置及监测点位图</w:t>
      </w:r>
    </w:p>
    <w:p>
      <w:pPr>
        <w:pStyle w:val="4"/>
        <w:spacing w:before="0" w:after="0" w:line="360" w:lineRule="auto"/>
        <w:rPr>
          <w:rFonts w:ascii="Times New Roman" w:hAnsi="Times New Roman" w:cs="Times New Roman" w:eastAsiaTheme="minorEastAsia"/>
          <w:color w:val="auto"/>
          <w:sz w:val="24"/>
          <w:szCs w:val="24"/>
          <w:highlight w:val="none"/>
        </w:rPr>
      </w:pPr>
      <w:bookmarkStart w:id="20" w:name="_Toc12864"/>
      <w:r>
        <w:rPr>
          <w:rFonts w:ascii="Times New Roman" w:hAnsi="Times New Roman" w:cs="Times New Roman" w:eastAsiaTheme="minorEastAsia"/>
          <w:color w:val="auto"/>
          <w:sz w:val="24"/>
          <w:szCs w:val="24"/>
          <w:highlight w:val="none"/>
        </w:rPr>
        <w:t>3.2建设内容</w:t>
      </w:r>
      <w:bookmarkEnd w:id="20"/>
    </w:p>
    <w:p>
      <w:pPr>
        <w:pStyle w:val="54"/>
        <w:tabs>
          <w:tab w:val="left" w:pos="2910"/>
          <w:tab w:val="clear" w:pos="870"/>
          <w:tab w:val="clear" w:pos="3150"/>
        </w:tabs>
        <w:rPr>
          <w:rFonts w:ascii="Times New Roman" w:hAnsi="Times New Roman" w:cs="Times New Roman"/>
          <w:color w:val="auto"/>
          <w:highlight w:val="none"/>
        </w:rPr>
      </w:pPr>
      <w:r>
        <w:rPr>
          <w:rFonts w:ascii="Times New Roman" w:hAnsi="Times New Roman" w:cs="Times New Roman"/>
          <w:color w:val="auto"/>
          <w:highlight w:val="none"/>
        </w:rPr>
        <w:t>根据现场调查，项目环评设计和实际规模，具体情况见表3-1。</w:t>
      </w:r>
    </w:p>
    <w:p>
      <w:pPr>
        <w:jc w:val="center"/>
        <w:rPr>
          <w:rFonts w:ascii="Times New Roman" w:hAnsi="Times New Roman" w:cs="Times New Roman"/>
          <w:b/>
          <w:color w:val="auto"/>
          <w:kern w:val="0"/>
          <w:sz w:val="24"/>
          <w:highlight w:val="none"/>
        </w:rPr>
      </w:pPr>
      <w:r>
        <w:rPr>
          <w:rFonts w:ascii="Times New Roman" w:hAnsi="Times New Roman" w:cs="Times New Roman"/>
          <w:b/>
          <w:color w:val="auto"/>
          <w:kern w:val="0"/>
          <w:sz w:val="24"/>
          <w:highlight w:val="none"/>
        </w:rPr>
        <w:t>表3-1  项目实际产品名称及规模</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12"/>
        <w:gridCol w:w="1214"/>
        <w:gridCol w:w="2340"/>
        <w:gridCol w:w="21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1" w:type="pct"/>
            <w:tcBorders>
              <w:tl2br w:val="nil"/>
              <w:tr2bl w:val="nil"/>
            </w:tcBorders>
            <w:vAlign w:val="center"/>
          </w:tcPr>
          <w:p>
            <w:pPr>
              <w:jc w:val="center"/>
              <w:rPr>
                <w:rFonts w:ascii="Times New Roman" w:hAnsi="Times New Roman" w:cs="Times New Roman"/>
                <w:b/>
                <w:color w:val="auto"/>
                <w:kern w:val="0"/>
                <w:szCs w:val="21"/>
                <w:highlight w:val="none"/>
              </w:rPr>
            </w:pPr>
            <w:r>
              <w:rPr>
                <w:rFonts w:ascii="Times New Roman" w:hAnsi="Times New Roman" w:cs="Times New Roman"/>
                <w:b/>
                <w:color w:val="auto"/>
                <w:kern w:val="0"/>
                <w:szCs w:val="21"/>
                <w:highlight w:val="none"/>
              </w:rPr>
              <w:t>产品</w:t>
            </w:r>
          </w:p>
        </w:tc>
        <w:tc>
          <w:tcPr>
            <w:tcW w:w="713" w:type="pct"/>
            <w:tcBorders>
              <w:tl2br w:val="nil"/>
              <w:tr2bl w:val="nil"/>
            </w:tcBorders>
            <w:vAlign w:val="center"/>
          </w:tcPr>
          <w:p>
            <w:pPr>
              <w:jc w:val="center"/>
              <w:rPr>
                <w:rFonts w:ascii="Times New Roman" w:hAnsi="Times New Roman" w:cs="Times New Roman"/>
                <w:b/>
                <w:color w:val="auto"/>
                <w:kern w:val="0"/>
                <w:szCs w:val="21"/>
                <w:highlight w:val="none"/>
              </w:rPr>
            </w:pPr>
            <w:r>
              <w:rPr>
                <w:rFonts w:ascii="Times New Roman" w:hAnsi="Times New Roman" w:cs="Times New Roman"/>
                <w:b/>
                <w:color w:val="auto"/>
                <w:kern w:val="0"/>
                <w:szCs w:val="21"/>
                <w:highlight w:val="none"/>
              </w:rPr>
              <w:t>单位</w:t>
            </w:r>
          </w:p>
        </w:tc>
        <w:tc>
          <w:tcPr>
            <w:tcW w:w="1374" w:type="pct"/>
            <w:tcBorders>
              <w:tl2br w:val="nil"/>
              <w:tr2bl w:val="nil"/>
            </w:tcBorders>
            <w:vAlign w:val="center"/>
          </w:tcPr>
          <w:p>
            <w:pPr>
              <w:jc w:val="center"/>
              <w:rPr>
                <w:rFonts w:ascii="Times New Roman" w:hAnsi="Times New Roman" w:cs="Times New Roman"/>
                <w:b/>
                <w:color w:val="auto"/>
                <w:kern w:val="0"/>
                <w:szCs w:val="21"/>
                <w:highlight w:val="none"/>
              </w:rPr>
            </w:pPr>
            <w:r>
              <w:rPr>
                <w:rFonts w:ascii="Times New Roman" w:hAnsi="Times New Roman" w:cs="Times New Roman"/>
                <w:b/>
                <w:color w:val="auto"/>
                <w:kern w:val="0"/>
                <w:szCs w:val="21"/>
                <w:highlight w:val="none"/>
              </w:rPr>
              <w:t>环评规模</w:t>
            </w:r>
          </w:p>
        </w:tc>
        <w:tc>
          <w:tcPr>
            <w:tcW w:w="1261" w:type="pct"/>
            <w:tcBorders>
              <w:tl2br w:val="nil"/>
              <w:tr2bl w:val="nil"/>
            </w:tcBorders>
            <w:vAlign w:val="center"/>
          </w:tcPr>
          <w:p>
            <w:pPr>
              <w:jc w:val="center"/>
              <w:rPr>
                <w:rFonts w:ascii="Times New Roman" w:hAnsi="Times New Roman" w:cs="Times New Roman"/>
                <w:color w:val="auto"/>
                <w:highlight w:val="none"/>
              </w:rPr>
            </w:pPr>
            <w:r>
              <w:rPr>
                <w:rFonts w:ascii="Times New Roman" w:hAnsi="Times New Roman" w:cs="Times New Roman"/>
                <w:b/>
                <w:color w:val="auto"/>
                <w:kern w:val="0"/>
                <w:szCs w:val="21"/>
                <w:highlight w:val="none"/>
              </w:rPr>
              <w:t>实际情况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1" w:type="pct"/>
            <w:tcBorders>
              <w:tl2br w:val="nil"/>
              <w:tr2bl w:val="nil"/>
            </w:tcBorders>
            <w:vAlign w:val="center"/>
          </w:tcPr>
          <w:p>
            <w:pPr>
              <w:jc w:val="center"/>
              <w:rPr>
                <w:rFonts w:ascii="Times New Roman" w:hAnsi="Times New Roman" w:cs="Times New Roman"/>
                <w:color w:val="auto"/>
                <w:highlight w:val="none"/>
              </w:rPr>
            </w:pPr>
            <w:r>
              <w:rPr>
                <w:rFonts w:hint="eastAsia" w:ascii="Times New Roman" w:hAnsi="Times New Roman" w:cs="Times New Roman"/>
                <w:color w:val="auto"/>
                <w:highlight w:val="none"/>
                <w:lang w:eastAsia="zh-CN"/>
              </w:rPr>
              <w:t>年拆解小型传统燃料汽车</w:t>
            </w:r>
          </w:p>
        </w:tc>
        <w:tc>
          <w:tcPr>
            <w:tcW w:w="713" w:type="pct"/>
            <w:tcBorders>
              <w:tl2br w:val="nil"/>
              <w:tr2bl w:val="nil"/>
            </w:tcBorders>
            <w:vAlign w:val="center"/>
          </w:tcPr>
          <w:p>
            <w:pPr>
              <w:jc w:val="center"/>
              <w:rPr>
                <w:rFonts w:ascii="Times New Roman" w:hAnsi="Times New Roman" w:cs="Times New Roman"/>
                <w:color w:val="auto"/>
                <w:highlight w:val="none"/>
              </w:rPr>
            </w:pPr>
            <w:r>
              <w:rPr>
                <w:rFonts w:hint="eastAsia" w:ascii="Times New Roman" w:hAnsi="Times New Roman" w:cs="Times New Roman"/>
                <w:color w:val="auto"/>
                <w:highlight w:val="none"/>
                <w:lang w:val="en-US" w:eastAsia="zh-CN"/>
              </w:rPr>
              <w:t>辆/a</w:t>
            </w:r>
          </w:p>
        </w:tc>
        <w:tc>
          <w:tcPr>
            <w:tcW w:w="1374" w:type="pct"/>
            <w:tcBorders>
              <w:tl2br w:val="nil"/>
              <w:tr2bl w:val="nil"/>
            </w:tcBorders>
            <w:vAlign w:val="center"/>
          </w:tcPr>
          <w:p>
            <w:pPr>
              <w:jc w:val="center"/>
              <w:rPr>
                <w:rFonts w:ascii="Times New Roman" w:hAnsi="Times New Roman" w:cs="Times New Roman"/>
                <w:bCs/>
                <w:color w:val="auto"/>
                <w:kern w:val="0"/>
                <w:szCs w:val="21"/>
                <w:highlight w:val="none"/>
              </w:rPr>
            </w:pPr>
            <w:r>
              <w:rPr>
                <w:rFonts w:hint="eastAsia" w:ascii="Times New Roman" w:hAnsi="Times New Roman" w:cs="Times New Roman"/>
                <w:color w:val="auto"/>
                <w:highlight w:val="none"/>
                <w:lang w:val="en-US" w:eastAsia="zh-CN"/>
              </w:rPr>
              <w:t>20000</w:t>
            </w:r>
          </w:p>
        </w:tc>
        <w:tc>
          <w:tcPr>
            <w:tcW w:w="1261" w:type="pct"/>
            <w:tcBorders>
              <w:tl2br w:val="nil"/>
              <w:tr2bl w:val="nil"/>
            </w:tcBorders>
            <w:vAlign w:val="center"/>
          </w:tcPr>
          <w:p>
            <w:pPr>
              <w:jc w:val="center"/>
              <w:rPr>
                <w:rFonts w:ascii="Times New Roman" w:hAnsi="Times New Roman" w:cs="Times New Roman" w:eastAsiaTheme="minorEastAsia"/>
                <w:bCs/>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20000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1" w:type="pct"/>
            <w:tcBorders>
              <w:tl2br w:val="nil"/>
              <w:tr2bl w:val="nil"/>
            </w:tcBorders>
            <w:vAlign w:val="center"/>
          </w:tcPr>
          <w:p>
            <w:pPr>
              <w:jc w:val="center"/>
              <w:rPr>
                <w:rFonts w:hint="eastAsia" w:ascii="Times New Roman" w:hAnsi="Times New Roman" w:cs="Times New Roman"/>
                <w:color w:val="auto"/>
                <w:highlight w:val="none"/>
              </w:rPr>
            </w:pPr>
            <w:r>
              <w:rPr>
                <w:rFonts w:hint="eastAsia" w:ascii="Times New Roman" w:hAnsi="Times New Roman" w:cs="Times New Roman"/>
                <w:color w:val="auto"/>
                <w:highlight w:val="none"/>
                <w:lang w:eastAsia="zh-CN"/>
              </w:rPr>
              <w:t>年拆解</w:t>
            </w:r>
            <w:r>
              <w:rPr>
                <w:rFonts w:hint="eastAsia" w:ascii="Times New Roman" w:hAnsi="Times New Roman" w:cs="Times New Roman"/>
                <w:color w:val="auto"/>
                <w:highlight w:val="none"/>
                <w:lang w:val="en-US" w:eastAsia="zh-CN"/>
              </w:rPr>
              <w:t>小型</w:t>
            </w:r>
            <w:r>
              <w:rPr>
                <w:rFonts w:hint="eastAsia" w:ascii="Times New Roman" w:hAnsi="Times New Roman" w:cs="Times New Roman"/>
                <w:color w:val="auto"/>
                <w:highlight w:val="none"/>
                <w:lang w:eastAsia="zh-CN"/>
              </w:rPr>
              <w:t>电动汽车</w:t>
            </w:r>
          </w:p>
        </w:tc>
        <w:tc>
          <w:tcPr>
            <w:tcW w:w="713" w:type="pct"/>
            <w:tcBorders>
              <w:tl2br w:val="nil"/>
              <w:tr2bl w:val="nil"/>
            </w:tcBorders>
            <w:vAlign w:val="center"/>
          </w:tcPr>
          <w:p>
            <w:pPr>
              <w:jc w:val="center"/>
              <w:rPr>
                <w:rFonts w:ascii="Times New Roman" w:hAnsi="Times New Roman" w:cs="Times New Roman"/>
                <w:color w:val="auto"/>
                <w:highlight w:val="none"/>
              </w:rPr>
            </w:pPr>
            <w:r>
              <w:rPr>
                <w:rFonts w:hint="eastAsia" w:ascii="Times New Roman" w:hAnsi="Times New Roman" w:cs="Times New Roman"/>
                <w:color w:val="auto"/>
                <w:highlight w:val="none"/>
                <w:lang w:val="en-US" w:eastAsia="zh-CN"/>
              </w:rPr>
              <w:t>辆/a</w:t>
            </w:r>
          </w:p>
        </w:tc>
        <w:tc>
          <w:tcPr>
            <w:tcW w:w="1374" w:type="pct"/>
            <w:tcBorders>
              <w:tl2br w:val="nil"/>
              <w:tr2bl w:val="nil"/>
            </w:tcBorders>
            <w:vAlign w:val="center"/>
          </w:tcPr>
          <w:p>
            <w:pPr>
              <w:jc w:val="center"/>
              <w:rPr>
                <w:rFonts w:hint="eastAsia" w:ascii="Times New Roman" w:hAnsi="Times New Roman" w:cs="Times New Roman"/>
                <w:bCs/>
                <w:color w:val="auto"/>
                <w:kern w:val="0"/>
                <w:szCs w:val="21"/>
                <w:highlight w:val="none"/>
              </w:rPr>
            </w:pPr>
            <w:r>
              <w:rPr>
                <w:rFonts w:hint="eastAsia" w:ascii="Times New Roman" w:hAnsi="Times New Roman" w:cs="Times New Roman"/>
                <w:color w:val="auto"/>
                <w:highlight w:val="none"/>
                <w:lang w:val="en-US" w:eastAsia="zh-CN"/>
              </w:rPr>
              <w:t>6000</w:t>
            </w:r>
          </w:p>
        </w:tc>
        <w:tc>
          <w:tcPr>
            <w:tcW w:w="1261" w:type="pct"/>
            <w:tcBorders>
              <w:tl2br w:val="nil"/>
              <w:tr2bl w:val="nil"/>
            </w:tcBorders>
            <w:vAlign w:val="center"/>
          </w:tcPr>
          <w:p>
            <w:pPr>
              <w:jc w:val="center"/>
              <w:rPr>
                <w:rFonts w:hint="eastAsia" w:ascii="Times New Roman" w:hAnsi="Times New Roman" w:cs="Times New Roman" w:eastAsiaTheme="minorEastAsia"/>
                <w:bCs/>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6000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1" w:type="pct"/>
            <w:tcBorders>
              <w:tl2br w:val="nil"/>
              <w:tr2bl w:val="nil"/>
            </w:tcBorders>
            <w:vAlign w:val="center"/>
          </w:tcPr>
          <w:p>
            <w:pPr>
              <w:jc w:val="center"/>
              <w:rPr>
                <w:rFonts w:hint="eastAsia" w:ascii="Times New Roman" w:hAnsi="Times New Roman" w:cs="Times New Roman"/>
                <w:color w:val="auto"/>
                <w:highlight w:val="none"/>
              </w:rPr>
            </w:pPr>
            <w:r>
              <w:rPr>
                <w:rFonts w:hint="eastAsia" w:ascii="Times New Roman" w:hAnsi="Times New Roman" w:cs="Times New Roman"/>
                <w:color w:val="auto"/>
                <w:highlight w:val="none"/>
                <w:lang w:eastAsia="zh-CN"/>
              </w:rPr>
              <w:t>年拆解</w:t>
            </w:r>
            <w:r>
              <w:rPr>
                <w:rFonts w:hint="default" w:ascii="Times New Roman" w:hAnsi="Times New Roman" w:cs="Times New Roman"/>
                <w:color w:val="auto"/>
                <w:highlight w:val="none"/>
              </w:rPr>
              <w:t>大型车</w:t>
            </w:r>
          </w:p>
        </w:tc>
        <w:tc>
          <w:tcPr>
            <w:tcW w:w="713" w:type="pct"/>
            <w:tcBorders>
              <w:tl2br w:val="nil"/>
              <w:tr2bl w:val="nil"/>
            </w:tcBorders>
            <w:vAlign w:val="center"/>
          </w:tcPr>
          <w:p>
            <w:pPr>
              <w:jc w:val="center"/>
              <w:rPr>
                <w:rFonts w:ascii="Times New Roman" w:hAnsi="Times New Roman" w:cs="Times New Roman"/>
                <w:color w:val="auto"/>
                <w:highlight w:val="none"/>
              </w:rPr>
            </w:pPr>
            <w:r>
              <w:rPr>
                <w:rFonts w:hint="eastAsia" w:ascii="Times New Roman" w:hAnsi="Times New Roman" w:cs="Times New Roman"/>
                <w:color w:val="auto"/>
                <w:highlight w:val="none"/>
                <w:lang w:val="en-US" w:eastAsia="zh-CN"/>
              </w:rPr>
              <w:t>辆/a</w:t>
            </w:r>
          </w:p>
        </w:tc>
        <w:tc>
          <w:tcPr>
            <w:tcW w:w="1374" w:type="pct"/>
            <w:tcBorders>
              <w:tl2br w:val="nil"/>
              <w:tr2bl w:val="nil"/>
            </w:tcBorders>
            <w:vAlign w:val="center"/>
          </w:tcPr>
          <w:p>
            <w:pPr>
              <w:jc w:val="center"/>
              <w:rPr>
                <w:rFonts w:hint="eastAsia" w:ascii="Times New Roman" w:hAnsi="Times New Roman" w:cs="Times New Roman"/>
                <w:bCs/>
                <w:color w:val="auto"/>
                <w:kern w:val="0"/>
                <w:szCs w:val="21"/>
                <w:highlight w:val="none"/>
              </w:rPr>
            </w:pPr>
            <w:r>
              <w:rPr>
                <w:rFonts w:hint="default" w:ascii="Times New Roman" w:hAnsi="Times New Roman" w:cs="Times New Roman"/>
                <w:color w:val="auto"/>
                <w:highlight w:val="none"/>
                <w:lang w:val="en-US" w:eastAsia="zh-CN"/>
              </w:rPr>
              <w:t>4000</w:t>
            </w:r>
          </w:p>
        </w:tc>
        <w:tc>
          <w:tcPr>
            <w:tcW w:w="1261" w:type="pct"/>
            <w:tcBorders>
              <w:tl2br w:val="nil"/>
              <w:tr2bl w:val="nil"/>
            </w:tcBorders>
            <w:vAlign w:val="center"/>
          </w:tcPr>
          <w:p>
            <w:pPr>
              <w:jc w:val="center"/>
              <w:rPr>
                <w:rFonts w:hint="eastAsia" w:ascii="Times New Roman" w:hAnsi="Times New Roman" w:cs="Times New Roman" w:eastAsiaTheme="minorEastAsia"/>
                <w:bCs/>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4000</w:t>
            </w:r>
          </w:p>
        </w:tc>
      </w:tr>
    </w:tbl>
    <w:p>
      <w:pPr>
        <w:pStyle w:val="54"/>
        <w:tabs>
          <w:tab w:val="left" w:pos="2910"/>
          <w:tab w:val="clear" w:pos="870"/>
          <w:tab w:val="clear" w:pos="3150"/>
        </w:tabs>
        <w:spacing w:line="360" w:lineRule="auto"/>
        <w:rPr>
          <w:rFonts w:ascii="Times New Roman" w:hAnsi="Times New Roman" w:cs="Times New Roman"/>
          <w:color w:val="auto"/>
          <w:highlight w:val="none"/>
        </w:rPr>
      </w:pPr>
      <w:r>
        <w:rPr>
          <w:rFonts w:ascii="Times New Roman" w:hAnsi="Times New Roman" w:cs="Times New Roman"/>
          <w:color w:val="auto"/>
          <w:highlight w:val="none"/>
        </w:rPr>
        <w:t>根据现场调查，项目</w:t>
      </w:r>
      <w:r>
        <w:rPr>
          <w:rFonts w:hint="eastAsia" w:ascii="Times New Roman" w:hAnsi="Times New Roman" w:cs="Times New Roman"/>
          <w:color w:val="auto"/>
          <w:highlight w:val="none"/>
          <w:lang w:eastAsia="zh-CN"/>
        </w:rPr>
        <w:t>设备情况</w:t>
      </w:r>
      <w:r>
        <w:rPr>
          <w:rFonts w:ascii="Times New Roman" w:hAnsi="Times New Roman" w:cs="Times New Roman"/>
          <w:color w:val="auto"/>
          <w:highlight w:val="none"/>
        </w:rPr>
        <w:t>详见表3-2。</w:t>
      </w:r>
    </w:p>
    <w:p>
      <w:pPr>
        <w:spacing w:line="360" w:lineRule="auto"/>
        <w:jc w:val="center"/>
        <w:rPr>
          <w:rFonts w:ascii="Times New Roman" w:hAnsi="Times New Roman" w:cs="Times New Roman"/>
          <w:b/>
          <w:color w:val="auto"/>
          <w:kern w:val="0"/>
          <w:sz w:val="24"/>
          <w:highlight w:val="none"/>
        </w:rPr>
      </w:pPr>
      <w:r>
        <w:rPr>
          <w:rFonts w:ascii="Times New Roman" w:hAnsi="Times New Roman" w:cs="Times New Roman"/>
          <w:b/>
          <w:color w:val="auto"/>
          <w:kern w:val="0"/>
          <w:sz w:val="24"/>
          <w:highlight w:val="none"/>
        </w:rPr>
        <w:t>表3-2  项目主要设备情况表</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8"/>
        <w:gridCol w:w="2377"/>
        <w:gridCol w:w="916"/>
        <w:gridCol w:w="774"/>
        <w:gridCol w:w="756"/>
        <w:gridCol w:w="31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333" w:type="pct"/>
            <w:tcBorders>
              <w:tl2br w:val="nil"/>
              <w:tr2bl w:val="nil"/>
            </w:tcBorders>
            <w:vAlign w:val="center"/>
          </w:tcPr>
          <w:p>
            <w:pPr>
              <w:tabs>
                <w:tab w:val="center" w:pos="4513"/>
              </w:tabs>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序号</w:t>
            </w:r>
          </w:p>
        </w:tc>
        <w:tc>
          <w:tcPr>
            <w:tcW w:w="1396" w:type="pct"/>
            <w:tcBorders>
              <w:tl2br w:val="nil"/>
              <w:tr2bl w:val="nil"/>
            </w:tcBorders>
            <w:vAlign w:val="center"/>
          </w:tcPr>
          <w:p>
            <w:pPr>
              <w:tabs>
                <w:tab w:val="center" w:pos="4513"/>
              </w:tabs>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名称</w:t>
            </w:r>
          </w:p>
        </w:tc>
        <w:tc>
          <w:tcPr>
            <w:tcW w:w="538" w:type="pct"/>
            <w:tcBorders>
              <w:tl2br w:val="nil"/>
              <w:tr2bl w:val="nil"/>
            </w:tcBorders>
            <w:vAlign w:val="center"/>
          </w:tcPr>
          <w:p>
            <w:pPr>
              <w:tabs>
                <w:tab w:val="center" w:pos="4513"/>
              </w:tabs>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型号</w:t>
            </w:r>
          </w:p>
        </w:tc>
        <w:tc>
          <w:tcPr>
            <w:tcW w:w="454" w:type="pct"/>
            <w:tcBorders>
              <w:tl2br w:val="nil"/>
              <w:tr2bl w:val="nil"/>
            </w:tcBorders>
            <w:vAlign w:val="center"/>
          </w:tcPr>
          <w:p>
            <w:pPr>
              <w:tabs>
                <w:tab w:val="center" w:pos="4513"/>
              </w:tabs>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环评数量</w:t>
            </w:r>
          </w:p>
        </w:tc>
        <w:tc>
          <w:tcPr>
            <w:tcW w:w="444" w:type="pct"/>
            <w:tcBorders>
              <w:tl2br w:val="nil"/>
              <w:tr2bl w:val="nil"/>
            </w:tcBorders>
            <w:vAlign w:val="center"/>
          </w:tcPr>
          <w:p>
            <w:pPr>
              <w:tabs>
                <w:tab w:val="center" w:pos="4513"/>
              </w:tabs>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实际数量</w:t>
            </w:r>
          </w:p>
        </w:tc>
        <w:tc>
          <w:tcPr>
            <w:tcW w:w="1833" w:type="pct"/>
            <w:tcBorders>
              <w:tl2br w:val="nil"/>
              <w:tr2bl w:val="nil"/>
            </w:tcBorders>
            <w:vAlign w:val="center"/>
          </w:tcPr>
          <w:p>
            <w:pPr>
              <w:tabs>
                <w:tab w:val="center" w:pos="4513"/>
              </w:tabs>
              <w:jc w:val="center"/>
              <w:rPr>
                <w:rFonts w:hint="eastAsia" w:ascii="Times New Roman" w:hAnsi="Times New Roman" w:cs="Times New Roman" w:eastAsiaTheme="minorEastAsia"/>
                <w:b/>
                <w:bCs/>
                <w:color w:val="auto"/>
                <w:szCs w:val="21"/>
                <w:highlight w:val="none"/>
                <w:lang w:eastAsia="zh-CN"/>
              </w:rPr>
            </w:pPr>
            <w:r>
              <w:rPr>
                <w:rFonts w:hint="eastAsia" w:ascii="Times New Roman" w:hAnsi="Times New Roman" w:cs="Times New Roman"/>
                <w:b/>
                <w:bCs/>
                <w:color w:val="auto"/>
                <w:szCs w:val="21"/>
                <w:highlight w:val="none"/>
                <w:lang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0" w:type="pct"/>
            <w:gridSpan w:val="6"/>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eastAsia="zh-CN" w:bidi="zh-CN"/>
              </w:rPr>
            </w:pPr>
            <w:r>
              <w:rPr>
                <w:rFonts w:hint="eastAsia" w:ascii="Times New Roman" w:hAnsi="Times New Roman" w:eastAsia="宋体" w:cs="Times New Roman"/>
                <w:b/>
                <w:bCs/>
                <w:color w:val="auto"/>
                <w:sz w:val="21"/>
                <w:szCs w:val="21"/>
                <w:highlight w:val="none"/>
                <w:lang w:val="zh-CN" w:eastAsia="zh-CN" w:bidi="zh-CN"/>
              </w:rPr>
              <w:t>新厂区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w w:val="99"/>
                <w:sz w:val="21"/>
                <w:szCs w:val="21"/>
                <w:highlight w:val="none"/>
                <w:lang w:val="zh-CN" w:eastAsia="zh-CN" w:bidi="zh-CN"/>
              </w:rPr>
              <w:t>1</w:t>
            </w:r>
          </w:p>
        </w:tc>
        <w:tc>
          <w:tcPr>
            <w:tcW w:w="139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预处理平台</w:t>
            </w:r>
          </w:p>
        </w:tc>
        <w:tc>
          <w:tcPr>
            <w:tcW w:w="53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DF-1</w:t>
            </w:r>
          </w:p>
        </w:tc>
        <w:tc>
          <w:tcPr>
            <w:tcW w:w="454"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444"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1833"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协助废油液抽取、氟利昂回收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w w:val="99"/>
                <w:sz w:val="21"/>
                <w:szCs w:val="21"/>
                <w:highlight w:val="none"/>
                <w:lang w:val="zh-CN" w:eastAsia="zh-CN" w:bidi="zh-CN"/>
              </w:rPr>
              <w:t>2</w:t>
            </w:r>
          </w:p>
        </w:tc>
        <w:tc>
          <w:tcPr>
            <w:tcW w:w="139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凿孔抽油机</w:t>
            </w:r>
          </w:p>
        </w:tc>
        <w:tc>
          <w:tcPr>
            <w:tcW w:w="53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DF-13</w:t>
            </w:r>
          </w:p>
        </w:tc>
        <w:tc>
          <w:tcPr>
            <w:tcW w:w="454"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444"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1833"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收集油箱内残余的废油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w w:val="99"/>
                <w:sz w:val="21"/>
                <w:szCs w:val="21"/>
                <w:highlight w:val="none"/>
                <w:lang w:val="zh-CN" w:eastAsia="zh-CN" w:bidi="zh-CN"/>
              </w:rPr>
              <w:t>3</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小车废油液抽取机</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CS2-1</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分类回收五类油液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w w:val="99"/>
                <w:sz w:val="21"/>
                <w:szCs w:val="21"/>
                <w:highlight w:val="none"/>
                <w:lang w:val="zh-CN" w:eastAsia="zh-CN" w:bidi="zh-CN"/>
              </w:rPr>
              <w:t>4</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安全气囊处理装置</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DF-3</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引爆拆解后的安全气囊，多重防护设置，确保操作人员安全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w w:val="99"/>
                <w:sz w:val="21"/>
                <w:szCs w:val="21"/>
                <w:highlight w:val="none"/>
                <w:lang w:val="zh-CN" w:eastAsia="zh-CN" w:bidi="zh-CN"/>
              </w:rPr>
              <w:t>5</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冷媒抽取机（小车）</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DF-65</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收集、存储制冷剂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w w:val="99"/>
                <w:sz w:val="21"/>
                <w:szCs w:val="21"/>
                <w:highlight w:val="none"/>
                <w:lang w:val="zh-CN" w:eastAsia="zh-CN" w:bidi="zh-CN"/>
              </w:rPr>
              <w:t>6</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油水分离装置</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DF-2</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废水经过油水分离，水质达到国际环保要求；处理能力4m</w:t>
            </w:r>
            <w:r>
              <w:rPr>
                <w:rFonts w:hint="default" w:ascii="Times New Roman" w:hAnsi="Times New Roman" w:eastAsia="Arial" w:cs="Times New Roman"/>
                <w:color w:val="auto"/>
                <w:sz w:val="21"/>
                <w:szCs w:val="21"/>
                <w:highlight w:val="none"/>
                <w:lang w:val="zh-CN" w:eastAsia="zh-CN" w:bidi="zh-CN"/>
              </w:rPr>
              <w:t>³</w:t>
            </w:r>
            <w:r>
              <w:rPr>
                <w:rFonts w:hint="default" w:ascii="Times New Roman" w:hAnsi="Times New Roman" w:eastAsia="宋体" w:cs="Times New Roman"/>
                <w:color w:val="auto"/>
                <w:sz w:val="21"/>
                <w:szCs w:val="21"/>
                <w:highlight w:val="none"/>
                <w:lang w:val="zh-CN" w:eastAsia="zh-CN" w:bidi="zh-CN"/>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w w:val="99"/>
                <w:sz w:val="21"/>
                <w:szCs w:val="21"/>
                <w:highlight w:val="none"/>
                <w:lang w:val="zh-CN" w:eastAsia="zh-CN" w:bidi="zh-CN"/>
              </w:rPr>
              <w:t>7</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液压大力剪</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DF-24</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剪排气筒、车门铰链、A\B\C柱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w w:val="99"/>
                <w:sz w:val="21"/>
                <w:szCs w:val="21"/>
                <w:highlight w:val="none"/>
                <w:lang w:val="zh-CN" w:eastAsia="zh-CN" w:bidi="zh-CN"/>
              </w:rPr>
              <w:t>8</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汽车翻转平台</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DF-8</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拆发动机、排气筒、变速箱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w w:val="99"/>
                <w:sz w:val="21"/>
                <w:szCs w:val="21"/>
                <w:highlight w:val="none"/>
                <w:lang w:val="zh-CN" w:eastAsia="zh-CN" w:bidi="zh-CN"/>
              </w:rPr>
              <w:t>9</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内外饰拆解平台</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DF-7</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2</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2</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 xml:space="preserve">拆悬挂、轮胎，副车架、油 </w:t>
            </w:r>
            <w:r>
              <w:rPr>
                <w:rFonts w:hint="default" w:ascii="Times New Roman" w:hAnsi="Times New Roman" w:eastAsia="宋体" w:cs="Times New Roman"/>
                <w:color w:val="auto"/>
                <w:spacing w:val="-1"/>
                <w:sz w:val="21"/>
                <w:szCs w:val="21"/>
                <w:highlight w:val="none"/>
                <w:lang w:val="zh-CN" w:eastAsia="zh-CN" w:bidi="zh-CN"/>
              </w:rPr>
              <w:t>箱，拆解车辆车门、机盖、仪</w:t>
            </w:r>
            <w:r>
              <w:rPr>
                <w:rFonts w:hint="default" w:ascii="Times New Roman" w:hAnsi="Times New Roman" w:eastAsia="宋体" w:cs="Times New Roman"/>
                <w:color w:val="auto"/>
                <w:sz w:val="21"/>
                <w:szCs w:val="21"/>
                <w:highlight w:val="none"/>
                <w:lang w:val="zh-CN" w:eastAsia="zh-CN" w:bidi="zh-CN"/>
              </w:rPr>
              <w:t>表、线束、座椅等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10</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大车废油液抽取机</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DF-4</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分类回收五类油液：抽取5种废油液；安全防爆负压抽取泵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11</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大车冷媒回收机</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DF-75</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收集、存储3种制冷剂</w:t>
            </w:r>
          </w:p>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（R12/R22/R134a)）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12</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拆车剪和下压架</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要求至少配备20吨挖机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13</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鹰嘴剪</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250</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大车大梁进行剪切</w:t>
            </w:r>
            <w:r>
              <w:rPr>
                <w:rFonts w:hint="default" w:ascii="Times New Roman" w:hAnsi="Times New Roman" w:cs="Times New Roman"/>
                <w:color w:val="auto"/>
                <w:sz w:val="21"/>
                <w:szCs w:val="21"/>
                <w:highlight w:val="none"/>
                <w:lang w:val="zh-CN" w:eastAsia="zh-CN" w:bidi="zh-CN"/>
              </w:rPr>
              <w:t>，要求至少配备20吨挖机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en-US" w:eastAsia="zh-CN" w:bidi="zh-CN"/>
              </w:rPr>
              <w:t>14</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撕碎机</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250</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w w:val="100"/>
                <w:kern w:val="2"/>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1</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15</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挖机</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200</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en-US" w:eastAsia="zh-CN" w:bidi="zh-CN"/>
              </w:rPr>
              <w:t>1</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16</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挖机</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250</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en-US" w:eastAsia="zh-CN" w:bidi="zh-CN"/>
              </w:rPr>
              <w:t>1</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17</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清脏车一拖二</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小型</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en-US" w:eastAsia="zh-CN" w:bidi="zh-CN"/>
              </w:rPr>
              <w:t>1</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18</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清脏车一拖二</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大型</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en-US" w:eastAsia="zh-CN" w:bidi="zh-CN"/>
              </w:rPr>
              <w:t>1</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19</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叉车</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3T</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3</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en-US" w:eastAsia="zh-CN" w:bidi="zh-CN"/>
              </w:rPr>
              <w:t>3</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20</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叉车</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1</w:t>
            </w:r>
            <w:r>
              <w:rPr>
                <w:rFonts w:hint="default" w:ascii="Times New Roman" w:hAnsi="Times New Roman" w:eastAsia="宋体" w:cs="Times New Roman"/>
                <w:color w:val="auto"/>
                <w:sz w:val="21"/>
                <w:szCs w:val="21"/>
                <w:highlight w:val="none"/>
                <w:lang w:val="en-US" w:eastAsia="zh-CN" w:bidi="zh-CN"/>
              </w:rPr>
              <w:t>5T</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en-US" w:eastAsia="zh-CN" w:bidi="zh-CN"/>
              </w:rPr>
              <w:t>1</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2</w:t>
            </w:r>
            <w:r>
              <w:rPr>
                <w:rFonts w:hint="default" w:ascii="Times New Roman" w:hAnsi="Times New Roman" w:cs="Times New Roman"/>
                <w:color w:val="auto"/>
                <w:sz w:val="21"/>
                <w:szCs w:val="21"/>
                <w:highlight w:val="none"/>
                <w:lang w:val="en-US" w:eastAsia="zh-CN" w:bidi="zh-CN"/>
              </w:rPr>
              <w:t>1</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大车扒胎机</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DF-76</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专用大车轮胎扒胎机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22</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zh-CN" w:eastAsia="zh-CN" w:bidi="zh-CN"/>
              </w:rPr>
            </w:pPr>
            <w:r>
              <w:rPr>
                <w:rFonts w:hint="eastAsia" w:ascii="Times New Roman" w:hAnsi="Times New Roman" w:cs="Times New Roman"/>
                <w:color w:val="auto"/>
                <w:sz w:val="21"/>
                <w:szCs w:val="21"/>
                <w:highlight w:val="none"/>
                <w:lang w:val="en-US" w:eastAsia="zh-CN" w:bidi="zh-CN"/>
              </w:rPr>
              <w:t>漏电诊断仪、温度探测仪</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2</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2</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电动汽车拆解的安全评估设备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23</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zh-CN" w:eastAsia="zh-CN" w:bidi="zh-CN"/>
              </w:rPr>
            </w:pPr>
            <w:r>
              <w:rPr>
                <w:rFonts w:hint="eastAsia" w:ascii="Times New Roman" w:hAnsi="Times New Roman" w:cs="Times New Roman"/>
                <w:color w:val="auto"/>
                <w:sz w:val="21"/>
                <w:szCs w:val="21"/>
                <w:highlight w:val="none"/>
                <w:lang w:val="en-US" w:eastAsia="zh-CN" w:bidi="zh-CN"/>
              </w:rPr>
              <w:t>绝缘电弧防护服等安全防护及救援设备</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2</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2</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检查动力蓄电池安全防护用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24</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zh-CN" w:eastAsia="zh-CN" w:bidi="zh-CN"/>
              </w:rPr>
            </w:pPr>
            <w:r>
              <w:rPr>
                <w:rFonts w:hint="eastAsia" w:ascii="Times New Roman" w:hAnsi="Times New Roman" w:cs="Times New Roman"/>
                <w:color w:val="auto"/>
                <w:sz w:val="21"/>
                <w:szCs w:val="21"/>
                <w:highlight w:val="none"/>
                <w:lang w:val="en-US" w:eastAsia="zh-CN" w:bidi="zh-CN"/>
              </w:rPr>
              <w:t>断电阀、止锁杆、保险器、专用测试转换接口、高压绝缘棒等</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1</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动力蓄电池断电设备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25</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zh-CN" w:eastAsia="zh-CN" w:bidi="zh-CN"/>
              </w:rPr>
            </w:pPr>
            <w:r>
              <w:rPr>
                <w:rFonts w:hint="eastAsia" w:ascii="Times New Roman" w:hAnsi="Times New Roman" w:cs="Times New Roman"/>
                <w:color w:val="auto"/>
                <w:sz w:val="21"/>
                <w:szCs w:val="21"/>
                <w:highlight w:val="none"/>
                <w:lang w:val="en-US" w:eastAsia="zh-CN" w:bidi="zh-CN"/>
              </w:rPr>
              <w:t>防静电绝缘真空抽油机</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1</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抽取废液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26</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zh-CN" w:eastAsia="zh-CN" w:bidi="zh-CN"/>
              </w:rPr>
            </w:pPr>
            <w:r>
              <w:rPr>
                <w:rFonts w:hint="eastAsia" w:ascii="Times New Roman" w:hAnsi="Times New Roman" w:cs="Times New Roman"/>
                <w:color w:val="auto"/>
                <w:sz w:val="21"/>
                <w:szCs w:val="21"/>
                <w:highlight w:val="none"/>
                <w:lang w:val="en-US" w:eastAsia="zh-CN" w:bidi="zh-CN"/>
              </w:rPr>
              <w:t>防静电塑料接口制冷剂回收机</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1</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抽氟利昂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27</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zh-CN" w:eastAsia="zh-CN" w:bidi="zh-CN"/>
              </w:rPr>
            </w:pPr>
            <w:r>
              <w:rPr>
                <w:rFonts w:hint="eastAsia" w:ascii="Times New Roman" w:hAnsi="Times New Roman" w:cs="Times New Roman"/>
                <w:color w:val="auto"/>
                <w:sz w:val="21"/>
                <w:szCs w:val="21"/>
                <w:highlight w:val="none"/>
                <w:lang w:val="en-US" w:eastAsia="zh-CN" w:bidi="zh-CN"/>
              </w:rPr>
              <w:t>绝缘吊具、夹臂</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2</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2</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动力蓄电池拆卸设备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28</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zh-CN" w:eastAsia="zh-CN" w:bidi="zh-CN"/>
              </w:rPr>
            </w:pPr>
            <w:r>
              <w:rPr>
                <w:rFonts w:hint="eastAsia" w:ascii="Times New Roman" w:hAnsi="Times New Roman" w:cs="Times New Roman"/>
                <w:color w:val="auto"/>
                <w:sz w:val="21"/>
                <w:szCs w:val="21"/>
                <w:highlight w:val="none"/>
                <w:lang w:val="en-US" w:eastAsia="zh-CN" w:bidi="zh-CN"/>
              </w:rPr>
              <w:t>绝缘气动扳手</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2</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2</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绝缘气动工具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29</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zh-CN" w:eastAsia="zh-CN" w:bidi="zh-CN"/>
              </w:rPr>
            </w:pPr>
            <w:r>
              <w:rPr>
                <w:rFonts w:hint="eastAsia" w:ascii="Times New Roman" w:hAnsi="Times New Roman" w:cs="Times New Roman"/>
                <w:color w:val="auto"/>
                <w:sz w:val="21"/>
                <w:szCs w:val="21"/>
                <w:highlight w:val="none"/>
                <w:lang w:val="en-US" w:eastAsia="zh-CN" w:bidi="zh-CN"/>
              </w:rPr>
              <w:t>绝缘承重货架</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2</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2</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绝缘辅助工具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30</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专用耐高压耐磨布基绝缘材料</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2</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2</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动力蓄电池绝缘处理材料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31</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剪式液压举升机K3000</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bidi="zh-CN"/>
              </w:rPr>
              <w:t>/</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1</w:t>
            </w:r>
          </w:p>
        </w:tc>
        <w:tc>
          <w:tcPr>
            <w:tcW w:w="18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eastAsia" w:ascii="Times New Roman" w:hAnsi="Times New Roman" w:cs="Times New Roman"/>
                <w:color w:val="auto"/>
                <w:sz w:val="21"/>
                <w:szCs w:val="21"/>
                <w:highlight w:val="none"/>
                <w:lang w:val="en-US" w:eastAsia="zh-CN" w:bidi="zh-CN"/>
              </w:rPr>
              <w:t>预处理工位，汽车升举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0" w:type="pct"/>
            <w:gridSpan w:val="6"/>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bidi="zh-CN"/>
              </w:rPr>
            </w:pPr>
            <w:r>
              <w:rPr>
                <w:rFonts w:hint="eastAsia" w:ascii="Times New Roman" w:hAnsi="Times New Roman" w:cs="Times New Roman"/>
                <w:b/>
                <w:bCs/>
                <w:color w:val="auto"/>
                <w:sz w:val="21"/>
                <w:szCs w:val="21"/>
                <w:highlight w:val="none"/>
                <w:lang w:val="en-US" w:eastAsia="zh-CN" w:bidi="zh-CN"/>
              </w:rPr>
              <w:t>老厂区（已验收）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32</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200T*800D12型剪刀机</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ascii="Times New Roman" w:hAnsi="Times New Roman" w:cs="Times New Roman"/>
                <w:color w:val="auto"/>
                <w:szCs w:val="21"/>
                <w:highlight w:val="none"/>
              </w:rPr>
            </w:pPr>
            <w:r>
              <w:rPr>
                <w:rFonts w:hint="default" w:ascii="Times New Roman" w:hAnsi="Times New Roman" w:cs="Times New Roman"/>
                <w:color w:val="auto"/>
                <w:sz w:val="21"/>
                <w:szCs w:val="21"/>
                <w:highlight w:val="none"/>
                <w:lang w:val="en-US" w:eastAsia="zh-CN" w:bidi="zh-CN"/>
              </w:rPr>
              <w:t>2</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ascii="Times New Roman" w:hAnsi="Times New Roman" w:cs="Times New Roman"/>
                <w:color w:val="auto"/>
                <w:szCs w:val="21"/>
                <w:highlight w:val="none"/>
              </w:rPr>
            </w:pPr>
            <w:r>
              <w:rPr>
                <w:rFonts w:hint="default" w:ascii="Times New Roman" w:hAnsi="Times New Roman" w:cs="Times New Roman"/>
                <w:color w:val="auto"/>
                <w:sz w:val="21"/>
                <w:szCs w:val="21"/>
                <w:highlight w:val="none"/>
                <w:lang w:val="en-US" w:eastAsia="zh-CN" w:bidi="zh-CN"/>
              </w:rPr>
              <w:t>2</w:t>
            </w:r>
          </w:p>
        </w:tc>
        <w:tc>
          <w:tcPr>
            <w:tcW w:w="3122" w:type="dxa"/>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33</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压块机</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ascii="Times New Roman" w:hAnsi="Times New Roman" w:cs="Times New Roman"/>
                <w:color w:val="auto"/>
                <w:szCs w:val="21"/>
                <w:highlight w:val="none"/>
              </w:rPr>
            </w:pPr>
            <w:r>
              <w:rPr>
                <w:rFonts w:hint="default" w:ascii="Times New Roman" w:hAnsi="Times New Roman" w:cs="Times New Roman"/>
                <w:color w:val="auto"/>
                <w:sz w:val="21"/>
                <w:szCs w:val="21"/>
                <w:highlight w:val="none"/>
                <w:lang w:val="en-US" w:eastAsia="zh-CN" w:bidi="zh-CN"/>
              </w:rPr>
              <w:t>2</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ascii="Times New Roman" w:hAnsi="Times New Roman" w:cs="Times New Roman"/>
                <w:color w:val="auto"/>
                <w:szCs w:val="21"/>
                <w:highlight w:val="none"/>
              </w:rPr>
            </w:pPr>
            <w:r>
              <w:rPr>
                <w:rFonts w:hint="default" w:ascii="Times New Roman" w:hAnsi="Times New Roman" w:cs="Times New Roman"/>
                <w:color w:val="auto"/>
                <w:sz w:val="21"/>
                <w:szCs w:val="21"/>
                <w:highlight w:val="none"/>
                <w:lang w:val="en-US" w:eastAsia="zh-CN" w:bidi="zh-CN"/>
              </w:rPr>
              <w:t>2</w:t>
            </w:r>
          </w:p>
        </w:tc>
        <w:tc>
          <w:tcPr>
            <w:tcW w:w="3122" w:type="dxa"/>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34</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吸盘</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ascii="Times New Roman" w:hAnsi="Times New Roman" w:cs="Times New Roman"/>
                <w:color w:val="auto"/>
                <w:szCs w:val="21"/>
                <w:highlight w:val="none"/>
              </w:rPr>
            </w:pPr>
            <w:r>
              <w:rPr>
                <w:rFonts w:hint="default" w:ascii="Times New Roman" w:hAnsi="Times New Roman" w:cs="Times New Roman"/>
                <w:color w:val="auto"/>
                <w:sz w:val="21"/>
                <w:szCs w:val="21"/>
                <w:highlight w:val="none"/>
                <w:lang w:val="en-US" w:eastAsia="zh-CN" w:bidi="zh-CN"/>
              </w:rPr>
              <w:t>2</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ascii="Times New Roman" w:hAnsi="Times New Roman" w:cs="Times New Roman"/>
                <w:color w:val="auto"/>
                <w:szCs w:val="21"/>
                <w:highlight w:val="none"/>
              </w:rPr>
            </w:pPr>
            <w:r>
              <w:rPr>
                <w:rFonts w:hint="default" w:ascii="Times New Roman" w:hAnsi="Times New Roman" w:cs="Times New Roman"/>
                <w:color w:val="auto"/>
                <w:sz w:val="21"/>
                <w:szCs w:val="21"/>
                <w:highlight w:val="none"/>
                <w:lang w:val="en-US" w:eastAsia="zh-CN" w:bidi="zh-CN"/>
              </w:rPr>
              <w:t>2</w:t>
            </w:r>
          </w:p>
        </w:tc>
        <w:tc>
          <w:tcPr>
            <w:tcW w:w="3122" w:type="dxa"/>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35</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地磅</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ascii="Times New Roman" w:hAnsi="Times New Roman" w:cs="Times New Roman"/>
                <w:color w:val="auto"/>
                <w:szCs w:val="21"/>
                <w:highlight w:val="none"/>
              </w:rPr>
            </w:pPr>
            <w:r>
              <w:rPr>
                <w:rFonts w:hint="default" w:ascii="Times New Roman" w:hAnsi="Times New Roman" w:cs="Times New Roman"/>
                <w:color w:val="auto"/>
                <w:sz w:val="21"/>
                <w:szCs w:val="21"/>
                <w:highlight w:val="none"/>
                <w:lang w:val="en-US"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ascii="Times New Roman" w:hAnsi="Times New Roman" w:cs="Times New Roman"/>
                <w:color w:val="auto"/>
                <w:szCs w:val="21"/>
                <w:highlight w:val="none"/>
              </w:rPr>
            </w:pPr>
            <w:r>
              <w:rPr>
                <w:rFonts w:hint="default" w:ascii="Times New Roman" w:hAnsi="Times New Roman" w:cs="Times New Roman"/>
                <w:color w:val="auto"/>
                <w:sz w:val="21"/>
                <w:szCs w:val="21"/>
                <w:highlight w:val="none"/>
                <w:lang w:val="en-US" w:eastAsia="zh-CN" w:bidi="zh-CN"/>
              </w:rPr>
              <w:t>1</w:t>
            </w:r>
          </w:p>
        </w:tc>
        <w:tc>
          <w:tcPr>
            <w:tcW w:w="3122" w:type="dxa"/>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36</w:t>
            </w:r>
          </w:p>
        </w:tc>
        <w:tc>
          <w:tcPr>
            <w:tcW w:w="1396"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铲车</w:t>
            </w:r>
          </w:p>
        </w:tc>
        <w:tc>
          <w:tcPr>
            <w:tcW w:w="53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w:t>
            </w:r>
          </w:p>
        </w:tc>
        <w:tc>
          <w:tcPr>
            <w:tcW w:w="45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ascii="Times New Roman" w:hAnsi="Times New Roman" w:cs="Times New Roman"/>
                <w:color w:val="auto"/>
                <w:szCs w:val="21"/>
                <w:highlight w:val="none"/>
              </w:rPr>
            </w:pPr>
            <w:r>
              <w:rPr>
                <w:rFonts w:hint="default" w:ascii="Times New Roman" w:hAnsi="Times New Roman" w:cs="Times New Roman"/>
                <w:color w:val="auto"/>
                <w:sz w:val="21"/>
                <w:szCs w:val="21"/>
                <w:highlight w:val="none"/>
                <w:lang w:val="en-US" w:eastAsia="zh-CN" w:bidi="zh-CN"/>
              </w:rPr>
              <w:t>1</w:t>
            </w:r>
          </w:p>
        </w:tc>
        <w:tc>
          <w:tcPr>
            <w:tcW w:w="444"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ascii="Times New Roman" w:hAnsi="Times New Roman" w:cs="Times New Roman"/>
                <w:color w:val="auto"/>
                <w:szCs w:val="21"/>
                <w:highlight w:val="none"/>
              </w:rPr>
            </w:pPr>
            <w:r>
              <w:rPr>
                <w:rFonts w:hint="default" w:ascii="Times New Roman" w:hAnsi="Times New Roman" w:cs="Times New Roman"/>
                <w:color w:val="auto"/>
                <w:sz w:val="21"/>
                <w:szCs w:val="21"/>
                <w:highlight w:val="none"/>
                <w:lang w:val="en-US" w:eastAsia="zh-CN" w:bidi="zh-CN"/>
              </w:rPr>
              <w:t>1</w:t>
            </w:r>
          </w:p>
        </w:tc>
        <w:tc>
          <w:tcPr>
            <w:tcW w:w="3122" w:type="dxa"/>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bidi="zh-CN"/>
              </w:rPr>
            </w:pPr>
            <w:r>
              <w:rPr>
                <w:rFonts w:hint="default" w:ascii="Times New Roman" w:hAnsi="Times New Roman" w:cs="Times New Roman"/>
                <w:color w:val="auto"/>
                <w:sz w:val="21"/>
                <w:szCs w:val="21"/>
                <w:highlight w:val="none"/>
                <w:lang w:val="en-US" w:eastAsia="zh-CN" w:bidi="zh-CN"/>
              </w:rPr>
              <w:t>/</w:t>
            </w:r>
          </w:p>
        </w:tc>
      </w:tr>
    </w:tbl>
    <w:p>
      <w:pPr>
        <w:pStyle w:val="4"/>
        <w:spacing w:before="0" w:after="0" w:line="360" w:lineRule="auto"/>
        <w:rPr>
          <w:rFonts w:ascii="Times New Roman" w:hAnsi="Times New Roman" w:cs="Times New Roman" w:eastAsiaTheme="minorEastAsia"/>
          <w:color w:val="auto"/>
          <w:highlight w:val="none"/>
        </w:rPr>
      </w:pPr>
      <w:bookmarkStart w:id="21" w:name="_Toc6886"/>
      <w:r>
        <w:rPr>
          <w:rFonts w:ascii="Times New Roman" w:hAnsi="Times New Roman" w:cs="Times New Roman" w:eastAsiaTheme="minorEastAsia"/>
          <w:color w:val="auto"/>
          <w:sz w:val="24"/>
          <w:szCs w:val="24"/>
          <w:highlight w:val="none"/>
        </w:rPr>
        <w:t>3.3主要原辅材料及燃料</w:t>
      </w:r>
      <w:bookmarkEnd w:id="21"/>
    </w:p>
    <w:p>
      <w:pPr>
        <w:pStyle w:val="12"/>
        <w:rPr>
          <w:rFonts w:ascii="Times New Roman" w:hAnsi="Times New Roman" w:cs="Times New Roman"/>
          <w:color w:val="auto"/>
          <w:highlight w:val="none"/>
        </w:rPr>
      </w:pPr>
      <w:r>
        <w:rPr>
          <w:rFonts w:ascii="Times New Roman" w:hAnsi="Times New Roman" w:cs="Times New Roman"/>
          <w:color w:val="auto"/>
          <w:kern w:val="0"/>
          <w:highlight w:val="none"/>
        </w:rPr>
        <w:t>根据现场调查，项目</w:t>
      </w:r>
      <w:r>
        <w:rPr>
          <w:rFonts w:ascii="Times New Roman" w:hAnsi="Times New Roman" w:cs="Times New Roman"/>
          <w:color w:val="auto"/>
          <w:highlight w:val="none"/>
        </w:rPr>
        <w:t>环评</w:t>
      </w:r>
      <w:r>
        <w:rPr>
          <w:rFonts w:ascii="Times New Roman" w:hAnsi="Times New Roman" w:cs="Times New Roman"/>
          <w:color w:val="auto"/>
          <w:kern w:val="0"/>
          <w:highlight w:val="none"/>
        </w:rPr>
        <w:t>原辅材料及能源消耗</w:t>
      </w:r>
      <w:r>
        <w:rPr>
          <w:rFonts w:ascii="Times New Roman" w:hAnsi="Times New Roman" w:cs="Times New Roman"/>
          <w:color w:val="auto"/>
          <w:highlight w:val="none"/>
        </w:rPr>
        <w:t>详见表3-4。</w:t>
      </w:r>
    </w:p>
    <w:p>
      <w:pPr>
        <w:jc w:val="center"/>
        <w:rPr>
          <w:rFonts w:ascii="Times New Roman" w:hAnsi="Times New Roman" w:cs="Times New Roman"/>
          <w:b/>
          <w:color w:val="auto"/>
          <w:kern w:val="0"/>
          <w:sz w:val="24"/>
          <w:highlight w:val="none"/>
        </w:rPr>
      </w:pPr>
      <w:r>
        <w:rPr>
          <w:rFonts w:ascii="Times New Roman" w:hAnsi="Times New Roman" w:cs="Times New Roman"/>
          <w:b/>
          <w:color w:val="auto"/>
          <w:kern w:val="0"/>
          <w:sz w:val="24"/>
          <w:highlight w:val="none"/>
        </w:rPr>
        <w:t>表3-4 主要原辅材料表</w:t>
      </w:r>
    </w:p>
    <w:tbl>
      <w:tblPr>
        <w:tblStyle w:val="23"/>
        <w:tblW w:w="8516"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42"/>
        <w:gridCol w:w="1815"/>
        <w:gridCol w:w="1123"/>
        <w:gridCol w:w="1532"/>
        <w:gridCol w:w="1650"/>
        <w:gridCol w:w="165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742" w:type="dxa"/>
            <w:tcBorders>
              <w:tl2br w:val="nil"/>
              <w:tr2bl w:val="nil"/>
            </w:tcBorders>
            <w:vAlign w:val="center"/>
          </w:tcPr>
          <w:p>
            <w:pPr>
              <w:spacing w:line="360" w:lineRule="auto"/>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序号</w:t>
            </w:r>
          </w:p>
        </w:tc>
        <w:tc>
          <w:tcPr>
            <w:tcW w:w="1815" w:type="dxa"/>
            <w:tcBorders>
              <w:tl2br w:val="nil"/>
              <w:tr2bl w:val="nil"/>
            </w:tcBorders>
            <w:vAlign w:val="center"/>
          </w:tcPr>
          <w:p>
            <w:pPr>
              <w:spacing w:line="360" w:lineRule="auto"/>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名称</w:t>
            </w:r>
          </w:p>
        </w:tc>
        <w:tc>
          <w:tcPr>
            <w:tcW w:w="1123" w:type="dxa"/>
            <w:tcBorders>
              <w:tl2br w:val="nil"/>
              <w:tr2bl w:val="nil"/>
            </w:tcBorders>
            <w:vAlign w:val="center"/>
          </w:tcPr>
          <w:p>
            <w:pPr>
              <w:spacing w:line="360" w:lineRule="auto"/>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单位</w:t>
            </w:r>
          </w:p>
        </w:tc>
        <w:tc>
          <w:tcPr>
            <w:tcW w:w="153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GB" w:eastAsia="zh-CN" w:bidi="ar-SA"/>
              </w:rPr>
            </w:pPr>
            <w:r>
              <w:rPr>
                <w:rFonts w:hint="eastAsia" w:ascii="Times New Roman" w:hAnsi="Times New Roman" w:eastAsia="宋体" w:cs="Times New Roman"/>
                <w:b/>
                <w:bCs/>
                <w:color w:val="auto"/>
                <w:sz w:val="21"/>
                <w:szCs w:val="21"/>
                <w:highlight w:val="none"/>
                <w:lang w:val="zh-CN" w:eastAsia="zh-CN" w:bidi="zh-CN"/>
              </w:rPr>
              <w:t>老厂区</w:t>
            </w:r>
          </w:p>
        </w:tc>
        <w:tc>
          <w:tcPr>
            <w:tcW w:w="165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GB" w:eastAsia="zh-CN" w:bidi="ar-SA"/>
              </w:rPr>
            </w:pPr>
            <w:r>
              <w:rPr>
                <w:rFonts w:hint="eastAsia" w:ascii="Times New Roman" w:hAnsi="Times New Roman" w:eastAsia="宋体" w:cs="Times New Roman"/>
                <w:b/>
                <w:bCs/>
                <w:color w:val="auto"/>
                <w:sz w:val="21"/>
                <w:szCs w:val="21"/>
                <w:highlight w:val="none"/>
                <w:lang w:val="zh-CN" w:eastAsia="zh-CN" w:bidi="zh-CN"/>
              </w:rPr>
              <w:t>新厂区</w:t>
            </w:r>
          </w:p>
        </w:tc>
        <w:tc>
          <w:tcPr>
            <w:tcW w:w="1654" w:type="dxa"/>
            <w:tcBorders>
              <w:tl2br w:val="nil"/>
              <w:tr2bl w:val="nil"/>
            </w:tcBorders>
            <w:vAlign w:val="center"/>
          </w:tcPr>
          <w:p>
            <w:pPr>
              <w:spacing w:line="360" w:lineRule="auto"/>
              <w:jc w:val="center"/>
              <w:rPr>
                <w:rFonts w:ascii="Times New Roman" w:hAnsi="Times New Roman" w:cs="Times New Roman"/>
                <w:color w:val="auto"/>
                <w:szCs w:val="21"/>
                <w:highlight w:val="none"/>
              </w:rPr>
            </w:pPr>
            <w:r>
              <w:rPr>
                <w:rFonts w:ascii="Times New Roman" w:hAnsi="Times New Roman" w:cs="Times New Roman"/>
                <w:b/>
                <w:bCs/>
                <w:color w:val="auto"/>
                <w:szCs w:val="21"/>
                <w:highlight w:val="none"/>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742" w:type="dxa"/>
            <w:tcBorders>
              <w:tl2br w:val="nil"/>
              <w:tr2bl w:val="nil"/>
            </w:tcBorders>
            <w:vAlign w:val="center"/>
          </w:tcPr>
          <w:p>
            <w:pPr>
              <w:pStyle w:val="86"/>
              <w:spacing w:before="81" w:line="240" w:lineRule="auto"/>
              <w:ind w:firstLine="0"/>
              <w:jc w:val="center"/>
              <w:rPr>
                <w:rFonts w:ascii="Times New Roman" w:hAnsi="Times New Roman" w:cs="Times New Roman"/>
                <w:color w:val="auto"/>
                <w:kern w:val="2"/>
                <w:sz w:val="21"/>
                <w:szCs w:val="21"/>
                <w:highlight w:val="none"/>
              </w:rPr>
            </w:pPr>
            <w:r>
              <w:rPr>
                <w:rFonts w:ascii="Times New Roman" w:hAnsi="Times New Roman" w:cs="Times New Roman"/>
                <w:color w:val="auto"/>
                <w:kern w:val="2"/>
                <w:sz w:val="21"/>
                <w:szCs w:val="21"/>
                <w:highlight w:val="none"/>
              </w:rPr>
              <w:t>1</w:t>
            </w:r>
          </w:p>
        </w:tc>
        <w:tc>
          <w:tcPr>
            <w:tcW w:w="181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GB" w:eastAsia="zh-CN" w:bidi="ar-SA"/>
              </w:rPr>
            </w:pPr>
            <w:r>
              <w:rPr>
                <w:rFonts w:hint="default" w:ascii="Times New Roman" w:hAnsi="Times New Roman" w:eastAsia="宋体" w:cs="Times New Roman"/>
                <w:color w:val="auto"/>
                <w:sz w:val="21"/>
                <w:szCs w:val="21"/>
                <w:highlight w:val="none"/>
                <w:vertAlign w:val="baseline"/>
                <w:lang w:val="en-GB" w:eastAsia="zh-CN"/>
              </w:rPr>
              <w:t>废旧金属</w:t>
            </w:r>
          </w:p>
        </w:tc>
        <w:tc>
          <w:tcPr>
            <w:tcW w:w="1123" w:type="dxa"/>
            <w:tcBorders>
              <w:tl2br w:val="nil"/>
              <w:tr2bl w:val="nil"/>
            </w:tcBorders>
            <w:vAlign w:val="center"/>
          </w:tcPr>
          <w:p>
            <w:pPr>
              <w:pStyle w:val="43"/>
              <w:rPr>
                <w:rFonts w:ascii="Times New Roman" w:hAnsi="Times New Roman" w:cs="Times New Roman" w:eastAsiaTheme="minorEastAsia"/>
                <w:color w:val="auto"/>
                <w:kern w:val="2"/>
                <w:sz w:val="21"/>
                <w:highlight w:val="none"/>
              </w:rPr>
            </w:pPr>
            <w:r>
              <w:rPr>
                <w:rFonts w:ascii="Times New Roman" w:hAnsi="Times New Roman" w:cs="Times New Roman" w:eastAsiaTheme="minorEastAsia"/>
                <w:color w:val="auto"/>
                <w:kern w:val="2"/>
                <w:sz w:val="21"/>
                <w:highlight w:val="none"/>
              </w:rPr>
              <w:t>吨</w:t>
            </w:r>
          </w:p>
        </w:tc>
        <w:tc>
          <w:tcPr>
            <w:tcW w:w="15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GB" w:eastAsia="zh-CN" w:bidi="ar-SA"/>
              </w:rPr>
            </w:pPr>
            <w:r>
              <w:rPr>
                <w:rFonts w:hint="default" w:ascii="Times New Roman" w:hAnsi="Times New Roman" w:eastAsia="宋体" w:cs="Times New Roman"/>
                <w:color w:val="auto"/>
                <w:sz w:val="21"/>
                <w:szCs w:val="21"/>
                <w:highlight w:val="none"/>
                <w:vertAlign w:val="baseline"/>
                <w:lang w:val="en-US" w:eastAsia="zh-CN"/>
              </w:rPr>
              <w:t>10000</w:t>
            </w:r>
          </w:p>
        </w:tc>
        <w:tc>
          <w:tcPr>
            <w:tcW w:w="1650" w:type="dxa"/>
            <w:tcBorders>
              <w:tl2br w:val="nil"/>
              <w:tr2bl w:val="nil"/>
            </w:tcBorders>
            <w:vAlign w:val="center"/>
          </w:tcPr>
          <w:p>
            <w:pPr>
              <w:pStyle w:val="86"/>
              <w:spacing w:before="81" w:line="240" w:lineRule="auto"/>
              <w:ind w:firstLine="0"/>
              <w:jc w:val="center"/>
              <w:rPr>
                <w:rFonts w:hint="eastAsia" w:ascii="Times New Roman" w:hAnsi="Times New Roman" w:cs="Times New Roman" w:eastAsiaTheme="minorEastAsia"/>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w:t>
            </w:r>
          </w:p>
        </w:tc>
        <w:tc>
          <w:tcPr>
            <w:tcW w:w="1654" w:type="dxa"/>
            <w:tcBorders>
              <w:tl2br w:val="nil"/>
              <w:tr2bl w:val="nil"/>
            </w:tcBorders>
            <w:vAlign w:val="center"/>
          </w:tcPr>
          <w:p>
            <w:pPr>
              <w:spacing w:line="360" w:lineRule="auto"/>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cs="Times New Roman"/>
                <w:color w:val="auto"/>
                <w:szCs w:val="21"/>
                <w:highlight w:val="none"/>
                <w:lang w:eastAsia="zh-CN"/>
              </w:rPr>
              <w:t>无变化，已验收</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742" w:type="dxa"/>
            <w:vAlign w:val="center"/>
          </w:tcPr>
          <w:p>
            <w:pPr>
              <w:pStyle w:val="86"/>
              <w:spacing w:before="81" w:line="240" w:lineRule="auto"/>
              <w:ind w:firstLine="0"/>
              <w:jc w:val="center"/>
              <w:rPr>
                <w:rFonts w:ascii="Times New Roman" w:hAnsi="Times New Roman" w:cs="Times New Roman"/>
                <w:color w:val="auto"/>
                <w:kern w:val="2"/>
                <w:sz w:val="21"/>
                <w:szCs w:val="21"/>
                <w:highlight w:val="none"/>
              </w:rPr>
            </w:pPr>
            <w:r>
              <w:rPr>
                <w:rFonts w:ascii="Times New Roman" w:hAnsi="Times New Roman" w:cs="Times New Roman"/>
                <w:color w:val="auto"/>
                <w:kern w:val="2"/>
                <w:sz w:val="21"/>
                <w:szCs w:val="21"/>
                <w:highlight w:val="none"/>
              </w:rPr>
              <w:t>2</w:t>
            </w:r>
          </w:p>
        </w:tc>
        <w:tc>
          <w:tcPr>
            <w:tcW w:w="181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GB" w:eastAsia="zh-CN" w:bidi="ar-SA"/>
              </w:rPr>
            </w:pPr>
            <w:r>
              <w:rPr>
                <w:rFonts w:hint="default" w:ascii="Times New Roman" w:hAnsi="Times New Roman" w:eastAsia="宋体" w:cs="Times New Roman"/>
                <w:color w:val="auto"/>
                <w:sz w:val="21"/>
                <w:szCs w:val="21"/>
                <w:highlight w:val="none"/>
                <w:vertAlign w:val="baseline"/>
                <w:lang w:val="en-GB" w:eastAsia="zh-CN"/>
              </w:rPr>
              <w:t>废旧汽车</w:t>
            </w:r>
          </w:p>
        </w:tc>
        <w:tc>
          <w:tcPr>
            <w:tcW w:w="1123" w:type="dxa"/>
            <w:vAlign w:val="center"/>
          </w:tcPr>
          <w:p>
            <w:pPr>
              <w:jc w:val="center"/>
              <w:rPr>
                <w:rFonts w:ascii="Times New Roman" w:hAnsi="Times New Roman" w:cs="Times New Roman"/>
                <w:color w:val="auto"/>
                <w:szCs w:val="21"/>
                <w:highlight w:val="none"/>
              </w:rPr>
            </w:pPr>
            <w:r>
              <w:rPr>
                <w:rFonts w:hint="default" w:ascii="Times New Roman" w:hAnsi="Times New Roman" w:eastAsia="宋体" w:cs="Times New Roman"/>
                <w:color w:val="auto"/>
                <w:sz w:val="21"/>
                <w:szCs w:val="21"/>
                <w:highlight w:val="none"/>
                <w:vertAlign w:val="baseline"/>
                <w:lang w:val="en-US" w:eastAsia="zh-CN"/>
              </w:rPr>
              <w:t>辆</w:t>
            </w:r>
          </w:p>
        </w:tc>
        <w:tc>
          <w:tcPr>
            <w:tcW w:w="1532"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w:t>
            </w:r>
          </w:p>
        </w:tc>
        <w:tc>
          <w:tcPr>
            <w:tcW w:w="1650" w:type="dxa"/>
            <w:vAlign w:val="center"/>
          </w:tcPr>
          <w:p>
            <w:pPr>
              <w:pStyle w:val="86"/>
              <w:spacing w:before="81" w:line="240" w:lineRule="auto"/>
              <w:ind w:firstLine="0"/>
              <w:jc w:val="center"/>
              <w:rPr>
                <w:rFonts w:ascii="Times New Roman" w:hAnsi="Times New Roman" w:cs="Times New Roman"/>
                <w:color w:val="auto"/>
                <w:kern w:val="2"/>
                <w:sz w:val="21"/>
                <w:szCs w:val="21"/>
                <w:highlight w:val="none"/>
              </w:rPr>
            </w:pPr>
            <w:r>
              <w:rPr>
                <w:rFonts w:hint="default" w:ascii="Times New Roman" w:hAnsi="Times New Roman" w:eastAsia="宋体" w:cs="Times New Roman"/>
                <w:color w:val="auto"/>
                <w:sz w:val="21"/>
                <w:szCs w:val="21"/>
                <w:highlight w:val="none"/>
                <w:vertAlign w:val="baseline"/>
                <w:lang w:val="en-US" w:eastAsia="zh-CN"/>
              </w:rPr>
              <w:t>30000</w:t>
            </w:r>
          </w:p>
        </w:tc>
        <w:tc>
          <w:tcPr>
            <w:tcW w:w="1654" w:type="dxa"/>
            <w:vAlign w:val="center"/>
          </w:tcPr>
          <w:p>
            <w:pPr>
              <w:spacing w:line="360" w:lineRule="auto"/>
              <w:jc w:val="center"/>
              <w:rPr>
                <w:rFonts w:hint="eastAsia"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r>
    </w:tbl>
    <w:p>
      <w:pPr>
        <w:pStyle w:val="4"/>
        <w:spacing w:before="0" w:after="0" w:line="360" w:lineRule="auto"/>
        <w:rPr>
          <w:rFonts w:ascii="Times New Roman" w:hAnsi="Times New Roman" w:cs="Times New Roman" w:eastAsiaTheme="minorEastAsia"/>
          <w:color w:val="auto"/>
          <w:sz w:val="24"/>
          <w:szCs w:val="24"/>
          <w:highlight w:val="none"/>
        </w:rPr>
      </w:pPr>
      <w:bookmarkStart w:id="22" w:name="_Toc11391"/>
      <w:r>
        <w:rPr>
          <w:rFonts w:ascii="Times New Roman" w:hAnsi="Times New Roman" w:cs="Times New Roman" w:eastAsiaTheme="minorEastAsia"/>
          <w:color w:val="auto"/>
          <w:sz w:val="24"/>
          <w:szCs w:val="24"/>
          <w:highlight w:val="none"/>
        </w:rPr>
        <w:t>3.4水源及水平衡</w:t>
      </w:r>
      <w:bookmarkEnd w:id="22"/>
    </w:p>
    <w:p>
      <w:pPr>
        <w:spacing w:line="360" w:lineRule="auto"/>
        <w:ind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项目用水为员工生活用水，项目水量平衡图见图3-4。</w:t>
      </w:r>
    </w:p>
    <w:tbl>
      <w:tblPr>
        <w:tblStyle w:val="23"/>
        <w:tblW w:w="8516" w:type="dxa"/>
        <w:jc w:val="center"/>
        <w:tblLayout w:type="fixed"/>
        <w:tblCellMar>
          <w:top w:w="0" w:type="dxa"/>
          <w:left w:w="108" w:type="dxa"/>
          <w:bottom w:w="0" w:type="dxa"/>
          <w:right w:w="108" w:type="dxa"/>
        </w:tblCellMar>
      </w:tblPr>
      <w:tblGrid>
        <w:gridCol w:w="8516"/>
      </w:tblGrid>
      <w:tr>
        <w:tblPrEx>
          <w:tblCellMar>
            <w:top w:w="0" w:type="dxa"/>
            <w:left w:w="108" w:type="dxa"/>
            <w:bottom w:w="0" w:type="dxa"/>
            <w:right w:w="108" w:type="dxa"/>
          </w:tblCellMar>
        </w:tblPrEx>
        <w:trPr>
          <w:trHeight w:val="2336" w:hRule="atLeast"/>
          <w:jc w:val="center"/>
        </w:trPr>
        <w:tc>
          <w:tcPr>
            <w:tcW w:w="8516" w:type="dxa"/>
          </w:tcPr>
          <w:p>
            <w:pPr>
              <w:rPr>
                <w:rFonts w:hint="eastAsia" w:ascii="Times New Roman" w:hAnsi="Times New Roman" w:cs="Times New Roman" w:eastAsiaTheme="minorEastAsia"/>
                <w:color w:val="auto"/>
                <w:sz w:val="24"/>
                <w:szCs w:val="24"/>
                <w:highlight w:val="none"/>
                <w:lang w:eastAsia="zh-CN"/>
              </w:rPr>
            </w:pPr>
            <w:r>
              <w:rPr>
                <w:rFonts w:hint="eastAsia" w:ascii="Times New Roman" w:hAnsi="Times New Roman" w:cs="Times New Roman" w:eastAsiaTheme="minorEastAsia"/>
                <w:color w:val="auto"/>
                <w:sz w:val="24"/>
                <w:szCs w:val="24"/>
                <w:highlight w:val="none"/>
                <w:lang w:eastAsia="zh-CN"/>
              </w:rPr>
              <w:drawing>
                <wp:inline distT="0" distB="0" distL="114300" distR="114300">
                  <wp:extent cx="5262880" cy="1224280"/>
                  <wp:effectExtent l="0" t="0" r="13970" b="13970"/>
                  <wp:docPr id="22" name="图片 2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图片1"/>
                          <pic:cNvPicPr>
                            <a:picLocks noChangeAspect="1"/>
                          </pic:cNvPicPr>
                        </pic:nvPicPr>
                        <pic:blipFill>
                          <a:blip r:embed="rId14"/>
                          <a:stretch>
                            <a:fillRect/>
                          </a:stretch>
                        </pic:blipFill>
                        <pic:spPr>
                          <a:xfrm>
                            <a:off x="0" y="0"/>
                            <a:ext cx="5262880" cy="1224280"/>
                          </a:xfrm>
                          <a:prstGeom prst="rect">
                            <a:avLst/>
                          </a:prstGeom>
                        </pic:spPr>
                      </pic:pic>
                    </a:graphicData>
                  </a:graphic>
                </wp:inline>
              </w:drawing>
            </w:r>
          </w:p>
        </w:tc>
      </w:tr>
    </w:tbl>
    <w:p>
      <w:pPr>
        <w:ind w:firstLine="480"/>
        <w:jc w:val="center"/>
        <w:rPr>
          <w:rFonts w:ascii="Times New Roman" w:hAnsi="Times New Roman" w:cs="Times New Roman"/>
          <w:b/>
          <w:bCs/>
          <w:color w:val="auto"/>
          <w:sz w:val="24"/>
          <w:szCs w:val="24"/>
          <w:highlight w:val="none"/>
        </w:rPr>
      </w:pPr>
      <w:r>
        <w:rPr>
          <w:rFonts w:ascii="Times New Roman" w:hAnsi="Times New Roman" w:cs="Times New Roman"/>
          <w:b/>
          <w:bCs/>
          <w:color w:val="auto"/>
          <w:sz w:val="24"/>
          <w:szCs w:val="24"/>
          <w:highlight w:val="none"/>
        </w:rPr>
        <w:t>图3-4项目水平衡图    单位：t/a</w:t>
      </w:r>
    </w:p>
    <w:p>
      <w:pPr>
        <w:pStyle w:val="4"/>
        <w:spacing w:before="0" w:after="0" w:line="360" w:lineRule="auto"/>
        <w:rPr>
          <w:rFonts w:ascii="Times New Roman" w:hAnsi="Times New Roman" w:cs="Times New Roman" w:eastAsiaTheme="minorEastAsia"/>
          <w:color w:val="auto"/>
          <w:sz w:val="24"/>
          <w:szCs w:val="24"/>
          <w:highlight w:val="none"/>
        </w:rPr>
      </w:pPr>
      <w:bookmarkStart w:id="23" w:name="_Toc12993"/>
      <w:r>
        <w:rPr>
          <w:rFonts w:ascii="Times New Roman" w:hAnsi="Times New Roman" w:cs="Times New Roman" w:eastAsiaTheme="minorEastAsia"/>
          <w:color w:val="auto"/>
          <w:sz w:val="24"/>
          <w:szCs w:val="24"/>
          <w:highlight w:val="none"/>
        </w:rPr>
        <w:t>3.5 生产工艺</w:t>
      </w:r>
      <w:bookmarkEnd w:id="23"/>
    </w:p>
    <w:p>
      <w:pPr>
        <w:numPr>
          <w:ilvl w:val="0"/>
          <w:numId w:val="0"/>
        </w:numPr>
        <w:spacing w:line="360" w:lineRule="auto"/>
        <w:rPr>
          <w:rFonts w:hint="eastAsia" w:ascii="Times New Roman" w:hAnsi="Times New Roman" w:cs="Times New Roman"/>
          <w:b/>
          <w:bCs/>
          <w:color w:val="auto"/>
          <w:kern w:val="2"/>
          <w:sz w:val="24"/>
          <w:szCs w:val="24"/>
          <w:highlight w:val="none"/>
          <w:lang w:val="en-US" w:eastAsia="zh-CN" w:bidi="ar-SA"/>
        </w:rPr>
      </w:pPr>
      <w:r>
        <w:rPr>
          <w:rFonts w:hint="eastAsia" w:ascii="Times New Roman" w:hAnsi="Times New Roman" w:cs="Times New Roman"/>
          <w:b/>
          <w:bCs/>
          <w:color w:val="auto"/>
          <w:kern w:val="2"/>
          <w:sz w:val="24"/>
          <w:szCs w:val="24"/>
          <w:highlight w:val="none"/>
          <w:lang w:val="en-US" w:eastAsia="zh-CN" w:bidi="ar-SA"/>
        </w:rPr>
        <w:t>3.5.1</w:t>
      </w:r>
      <w:r>
        <w:rPr>
          <w:rFonts w:hint="default" w:ascii="Times New Roman" w:hAnsi="Times New Roman" w:cs="Times New Roman" w:eastAsiaTheme="minorEastAsia"/>
          <w:b/>
          <w:bCs/>
          <w:color w:val="auto"/>
          <w:kern w:val="2"/>
          <w:sz w:val="24"/>
          <w:szCs w:val="24"/>
          <w:highlight w:val="none"/>
          <w:lang w:val="en-US" w:eastAsia="zh-CN" w:bidi="ar-SA"/>
        </w:rPr>
        <w:t>拆解车辆总工艺流程</w:t>
      </w:r>
    </w:p>
    <w:p>
      <w:pPr>
        <w:numPr>
          <w:ilvl w:val="0"/>
          <w:numId w:val="0"/>
        </w:numPr>
        <w:spacing w:line="360" w:lineRule="auto"/>
        <w:rPr>
          <w:rFonts w:hint="eastAsia" w:ascii="Times New Roman" w:hAnsi="Times New Roman" w:cs="Times New Roman" w:eastAsiaTheme="minorEastAsia"/>
          <w:color w:val="auto"/>
          <w:kern w:val="2"/>
          <w:sz w:val="24"/>
          <w:szCs w:val="24"/>
          <w:highlight w:val="none"/>
          <w:lang w:val="en-US" w:eastAsia="zh-CN" w:bidi="ar-SA"/>
        </w:rPr>
      </w:pPr>
      <w:r>
        <w:rPr>
          <w:rFonts w:hint="default" w:ascii="Times New Roman" w:hAnsi="Times New Roman" w:cs="Times New Roman" w:eastAsiaTheme="minorEastAsia"/>
          <w:color w:val="auto"/>
          <w:kern w:val="2"/>
          <w:sz w:val="24"/>
          <w:szCs w:val="24"/>
          <w:highlight w:val="none"/>
          <w:lang w:val="en-US" w:eastAsia="zh-CN" w:bidi="ar-SA"/>
        </w:rPr>
        <w:t>拆解车辆总工艺流程</w:t>
      </w:r>
      <w:r>
        <w:rPr>
          <w:rFonts w:ascii="Times New Roman" w:hAnsi="Times New Roman" w:cs="Times New Roman"/>
          <w:color w:val="auto"/>
          <w:sz w:val="24"/>
          <w:szCs w:val="24"/>
          <w:highlight w:val="none"/>
        </w:rPr>
        <w:t>见图3-</w:t>
      </w:r>
      <w:r>
        <w:rPr>
          <w:rFonts w:hint="eastAsia" w:ascii="Times New Roman" w:hAnsi="Times New Roman" w:cs="Times New Roman"/>
          <w:color w:val="auto"/>
          <w:sz w:val="24"/>
          <w:szCs w:val="24"/>
          <w:highlight w:val="none"/>
          <w:lang w:val="en-US" w:eastAsia="zh-CN"/>
        </w:rPr>
        <w:t>5。</w:t>
      </w:r>
    </w:p>
    <w:p>
      <w:pPr>
        <w:widowControl/>
        <w:jc w:val="center"/>
        <w:rPr>
          <w:rFonts w:ascii="Times New Roman" w:hAnsi="Times New Roman" w:cs="Times New Roman"/>
          <w:b/>
          <w:bCs/>
          <w:color w:val="auto"/>
          <w:sz w:val="24"/>
          <w:szCs w:val="24"/>
          <w:highlight w:val="none"/>
        </w:rPr>
      </w:pPr>
      <w:r>
        <w:rPr>
          <w:color w:val="auto"/>
          <w:highlight w:val="none"/>
        </w:rPr>
        <w:drawing>
          <wp:inline distT="0" distB="0" distL="114300" distR="114300">
            <wp:extent cx="1571625" cy="2781300"/>
            <wp:effectExtent l="0" t="0" r="9525" b="0"/>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15"/>
                    <a:srcRect b="2990"/>
                    <a:stretch>
                      <a:fillRect/>
                    </a:stretch>
                  </pic:blipFill>
                  <pic:spPr>
                    <a:xfrm>
                      <a:off x="0" y="0"/>
                      <a:ext cx="1571625" cy="2781300"/>
                    </a:xfrm>
                    <a:prstGeom prst="rect">
                      <a:avLst/>
                    </a:prstGeom>
                    <a:noFill/>
                    <a:ln>
                      <a:noFill/>
                    </a:ln>
                  </pic:spPr>
                </pic:pic>
              </a:graphicData>
            </a:graphic>
          </wp:inline>
        </w:drawing>
      </w:r>
    </w:p>
    <w:p>
      <w:pPr>
        <w:widowControl/>
        <w:jc w:val="center"/>
        <w:rPr>
          <w:rFonts w:ascii="Times New Roman" w:hAnsi="Times New Roman" w:cs="Times New Roman"/>
          <w:b/>
          <w:bCs/>
          <w:color w:val="auto"/>
          <w:sz w:val="24"/>
          <w:szCs w:val="24"/>
          <w:highlight w:val="none"/>
        </w:rPr>
      </w:pPr>
      <w:r>
        <w:rPr>
          <w:rFonts w:ascii="Times New Roman" w:hAnsi="Times New Roman" w:cs="Times New Roman"/>
          <w:b/>
          <w:bCs/>
          <w:color w:val="auto"/>
          <w:sz w:val="24"/>
          <w:szCs w:val="24"/>
          <w:highlight w:val="none"/>
        </w:rPr>
        <w:t>图3-5</w:t>
      </w:r>
      <w:r>
        <w:rPr>
          <w:rFonts w:hint="default" w:ascii="Times New Roman" w:hAnsi="Times New Roman" w:cs="Times New Roman"/>
          <w:b/>
          <w:bCs/>
          <w:color w:val="auto"/>
          <w:sz w:val="24"/>
          <w:szCs w:val="24"/>
          <w:highlight w:val="none"/>
          <w:lang w:val="en-US" w:eastAsia="zh-CN"/>
        </w:rPr>
        <w:t>拆解车辆总工艺流程</w:t>
      </w:r>
    </w:p>
    <w:p>
      <w:pPr>
        <w:pStyle w:val="83"/>
        <w:spacing w:line="360" w:lineRule="auto"/>
        <w:ind w:firstLine="482"/>
        <w:rPr>
          <w:rFonts w:ascii="Times New Roman" w:hAnsi="Times New Roman" w:cs="Times New Roman" w:eastAsiaTheme="minorEastAsia"/>
          <w:b/>
          <w:color w:val="auto"/>
          <w:kern w:val="2"/>
          <w:szCs w:val="24"/>
          <w:highlight w:val="none"/>
        </w:rPr>
      </w:pPr>
      <w:r>
        <w:rPr>
          <w:rFonts w:hint="default" w:ascii="Times New Roman" w:hAnsi="Times New Roman" w:cs="Times New Roman"/>
          <w:b/>
          <w:bCs/>
          <w:color w:val="auto"/>
          <w:sz w:val="24"/>
          <w:szCs w:val="24"/>
          <w:highlight w:val="none"/>
          <w:lang w:val="en-US" w:eastAsia="zh-CN"/>
        </w:rPr>
        <w:t>拆解车辆</w:t>
      </w:r>
      <w:r>
        <w:rPr>
          <w:rFonts w:hint="eastAsia" w:ascii="Times New Roman" w:hAnsi="Times New Roman" w:cs="Times New Roman"/>
          <w:b/>
          <w:bCs/>
          <w:color w:val="auto"/>
          <w:sz w:val="24"/>
          <w:szCs w:val="24"/>
          <w:highlight w:val="none"/>
          <w:lang w:val="en-US" w:eastAsia="zh-CN"/>
        </w:rPr>
        <w:t>总</w:t>
      </w:r>
      <w:r>
        <w:rPr>
          <w:rFonts w:ascii="Times New Roman" w:hAnsi="Times New Roman" w:cs="Times New Roman" w:eastAsiaTheme="minorEastAsia"/>
          <w:b/>
          <w:color w:val="auto"/>
          <w:kern w:val="2"/>
          <w:szCs w:val="24"/>
          <w:highlight w:val="none"/>
        </w:rPr>
        <w:t>工艺说明：</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报废汽车回收拆解企业的作业程序应严格遵循环保和循环利用的原则，基本要求如下：</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（1）应严格按照汽车生产企业提供的拆解手册进行合理拆解，没有拆解手册的，参照同类其他车辆的规定拆解。</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（2）报废汽车拆解时，应采用合适的专用工具、设备与工艺，尽可能保证零部件的可再利用性以及材料的可回收利用性。</w:t>
      </w:r>
    </w:p>
    <w:p>
      <w:pPr>
        <w:spacing w:line="360" w:lineRule="auto"/>
        <w:ind w:firstLine="48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3）拆解电动汽车的企业，应接受汽车生产企业的培训或技术指导，制定拆解方案，配备相应安全技术人员。应将从报废电动汽车上拆卸下来的动力蓄电池包（组）交售给具有资质的动力蓄电池回收利用企业进行处理，禁止进一步拆解。</w:t>
      </w:r>
    </w:p>
    <w:p>
      <w:pPr>
        <w:numPr>
          <w:ilvl w:val="0"/>
          <w:numId w:val="0"/>
        </w:numPr>
        <w:spacing w:line="360" w:lineRule="auto"/>
        <w:rPr>
          <w:rFonts w:hint="default" w:ascii="Times New Roman" w:hAnsi="Times New Roman" w:cs="Times New Roman" w:eastAsiaTheme="minorEastAsia"/>
          <w:b/>
          <w:bCs/>
          <w:color w:val="auto"/>
          <w:kern w:val="2"/>
          <w:sz w:val="24"/>
          <w:szCs w:val="24"/>
          <w:highlight w:val="none"/>
          <w:lang w:val="en-US" w:eastAsia="zh-CN" w:bidi="ar-SA"/>
        </w:rPr>
      </w:pPr>
      <w:r>
        <w:rPr>
          <w:rFonts w:hint="eastAsia" w:ascii="Times New Roman" w:hAnsi="Times New Roman" w:cs="Times New Roman" w:eastAsiaTheme="minorEastAsia"/>
          <w:b/>
          <w:bCs/>
          <w:color w:val="auto"/>
          <w:kern w:val="2"/>
          <w:sz w:val="24"/>
          <w:szCs w:val="24"/>
          <w:highlight w:val="none"/>
          <w:lang w:val="en-US" w:eastAsia="zh-CN" w:bidi="ar-SA"/>
        </w:rPr>
        <w:t>3.5.2</w:t>
      </w:r>
      <w:r>
        <w:rPr>
          <w:rFonts w:hint="default" w:ascii="Times New Roman" w:hAnsi="Times New Roman" w:cs="Times New Roman" w:eastAsiaTheme="minorEastAsia"/>
          <w:b/>
          <w:bCs/>
          <w:color w:val="auto"/>
          <w:kern w:val="2"/>
          <w:sz w:val="24"/>
          <w:szCs w:val="24"/>
          <w:highlight w:val="none"/>
          <w:lang w:val="en-US" w:eastAsia="zh-CN" w:bidi="ar-SA"/>
        </w:rPr>
        <w:t>拆解工艺流程</w:t>
      </w:r>
    </w:p>
    <w:p>
      <w:pPr>
        <w:pStyle w:val="54"/>
        <w:spacing w:line="440" w:lineRule="exact"/>
        <w:rPr>
          <w:rFonts w:ascii="Times New Roman" w:hAnsi="Times New Roman" w:cs="Times New Roman"/>
          <w:color w:val="auto"/>
          <w:highlight w:val="none"/>
        </w:rPr>
        <w:sectPr>
          <w:pgSz w:w="11906" w:h="16838"/>
          <w:pgMar w:top="1440" w:right="1803" w:bottom="1440" w:left="1803" w:header="680" w:footer="992" w:gutter="0"/>
          <w:pgBorders>
            <w:top w:val="none" w:sz="0" w:space="0"/>
            <w:left w:val="none" w:sz="0" w:space="0"/>
            <w:bottom w:val="none" w:sz="0" w:space="0"/>
            <w:right w:val="none" w:sz="0" w:space="0"/>
          </w:pgBorders>
          <w:cols w:space="0" w:num="1"/>
          <w:docGrid w:type="lines" w:linePitch="312" w:charSpace="0"/>
        </w:sectPr>
      </w:pPr>
      <w:r>
        <w:rPr>
          <w:rFonts w:hint="default" w:ascii="Times New Roman" w:hAnsi="Times New Roman" w:cs="Times New Roman"/>
          <w:color w:val="auto"/>
          <w:highlight w:val="none"/>
        </w:rPr>
        <w:t>传统燃料汽车</w:t>
      </w:r>
      <w:r>
        <w:rPr>
          <w:rFonts w:hint="eastAsia" w:ascii="Times New Roman" w:hAnsi="Times New Roman" w:cs="Times New Roman"/>
          <w:color w:val="auto"/>
          <w:highlight w:val="none"/>
          <w:lang w:eastAsia="zh-CN"/>
        </w:rPr>
        <w:t>拆解工艺流程</w:t>
      </w:r>
      <w:r>
        <w:rPr>
          <w:rFonts w:ascii="Times New Roman" w:hAnsi="Times New Roman" w:cs="Times New Roman"/>
          <w:color w:val="auto"/>
          <w:highlight w:val="none"/>
        </w:rPr>
        <w:t>见图3-</w:t>
      </w:r>
      <w:r>
        <w:rPr>
          <w:rFonts w:hint="eastAsia" w:ascii="Times New Roman" w:hAnsi="Times New Roman" w:cs="Times New Roman"/>
          <w:color w:val="auto"/>
          <w:highlight w:val="none"/>
        </w:rPr>
        <w:t>6</w:t>
      </w:r>
      <w:r>
        <w:rPr>
          <w:rFonts w:ascii="Times New Roman" w:hAnsi="Times New Roman" w:cs="Times New Roman"/>
          <w:color w:val="auto"/>
          <w:highlight w:val="none"/>
        </w:rPr>
        <w:t>。</w:t>
      </w:r>
    </w:p>
    <w:p>
      <w:pPr>
        <w:widowControl/>
        <w:jc w:val="both"/>
        <w:rPr>
          <w:rFonts w:ascii="Times New Roman" w:hAnsi="Times New Roman" w:cs="Times New Roman"/>
          <w:b/>
          <w:bCs/>
          <w:color w:val="auto"/>
          <w:sz w:val="24"/>
          <w:szCs w:val="24"/>
          <w:highlight w:val="none"/>
        </w:rPr>
      </w:pPr>
      <w:r>
        <w:rPr>
          <w:color w:val="auto"/>
          <w:highlight w:val="none"/>
        </w:rPr>
        <w:drawing>
          <wp:anchor distT="0" distB="0" distL="114300" distR="114300" simplePos="0" relativeHeight="251662336" behindDoc="0" locked="0" layoutInCell="1" allowOverlap="1">
            <wp:simplePos x="0" y="0"/>
            <wp:positionH relativeFrom="column">
              <wp:posOffset>800100</wp:posOffset>
            </wp:positionH>
            <wp:positionV relativeFrom="paragraph">
              <wp:posOffset>43180</wp:posOffset>
            </wp:positionV>
            <wp:extent cx="7210425" cy="4499610"/>
            <wp:effectExtent l="0" t="0" r="9525" b="15240"/>
            <wp:wrapSquare wrapText="bothSides"/>
            <wp:docPr id="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7"/>
                    <pic:cNvPicPr>
                      <a:picLocks noChangeAspect="1"/>
                    </pic:cNvPicPr>
                  </pic:nvPicPr>
                  <pic:blipFill>
                    <a:blip r:embed="rId16"/>
                    <a:stretch>
                      <a:fillRect/>
                    </a:stretch>
                  </pic:blipFill>
                  <pic:spPr>
                    <a:xfrm>
                      <a:off x="0" y="0"/>
                      <a:ext cx="7210425" cy="4499610"/>
                    </a:xfrm>
                    <a:prstGeom prst="rect">
                      <a:avLst/>
                    </a:prstGeom>
                    <a:noFill/>
                    <a:ln>
                      <a:noFill/>
                    </a:ln>
                  </pic:spPr>
                </pic:pic>
              </a:graphicData>
            </a:graphic>
          </wp:anchor>
        </w:drawing>
      </w:r>
    </w:p>
    <w:p>
      <w:pPr>
        <w:widowControl/>
        <w:jc w:val="both"/>
        <w:rPr>
          <w:rFonts w:ascii="Times New Roman" w:hAnsi="Times New Roman" w:cs="Times New Roman"/>
          <w:b/>
          <w:bCs/>
          <w:color w:val="auto"/>
          <w:sz w:val="24"/>
          <w:szCs w:val="24"/>
          <w:highlight w:val="none"/>
        </w:rPr>
      </w:pPr>
    </w:p>
    <w:p>
      <w:pPr>
        <w:widowControl/>
        <w:jc w:val="both"/>
        <w:rPr>
          <w:rFonts w:ascii="Times New Roman" w:hAnsi="Times New Roman" w:cs="Times New Roman"/>
          <w:b/>
          <w:bCs/>
          <w:color w:val="auto"/>
          <w:sz w:val="24"/>
          <w:szCs w:val="24"/>
          <w:highlight w:val="none"/>
        </w:rPr>
      </w:pPr>
    </w:p>
    <w:p>
      <w:pPr>
        <w:widowControl/>
        <w:jc w:val="both"/>
        <w:rPr>
          <w:rFonts w:ascii="Times New Roman" w:hAnsi="Times New Roman" w:cs="Times New Roman"/>
          <w:b/>
          <w:bCs/>
          <w:color w:val="auto"/>
          <w:sz w:val="24"/>
          <w:szCs w:val="24"/>
          <w:highlight w:val="none"/>
        </w:rPr>
      </w:pPr>
    </w:p>
    <w:p>
      <w:pPr>
        <w:widowControl/>
        <w:jc w:val="both"/>
        <w:rPr>
          <w:rFonts w:ascii="Times New Roman" w:hAnsi="Times New Roman" w:cs="Times New Roman"/>
          <w:b/>
          <w:bCs/>
          <w:color w:val="auto"/>
          <w:sz w:val="24"/>
          <w:szCs w:val="24"/>
          <w:highlight w:val="none"/>
        </w:rPr>
      </w:pPr>
    </w:p>
    <w:p>
      <w:pPr>
        <w:widowControl/>
        <w:jc w:val="both"/>
        <w:rPr>
          <w:rFonts w:ascii="Times New Roman" w:hAnsi="Times New Roman" w:cs="Times New Roman"/>
          <w:b/>
          <w:bCs/>
          <w:color w:val="auto"/>
          <w:sz w:val="24"/>
          <w:szCs w:val="24"/>
          <w:highlight w:val="none"/>
        </w:rPr>
      </w:pPr>
    </w:p>
    <w:p>
      <w:pPr>
        <w:widowControl/>
        <w:jc w:val="both"/>
        <w:rPr>
          <w:rFonts w:ascii="Times New Roman" w:hAnsi="Times New Roman" w:cs="Times New Roman"/>
          <w:b/>
          <w:bCs/>
          <w:color w:val="auto"/>
          <w:sz w:val="24"/>
          <w:szCs w:val="24"/>
          <w:highlight w:val="none"/>
        </w:rPr>
      </w:pPr>
    </w:p>
    <w:p>
      <w:pPr>
        <w:widowControl/>
        <w:jc w:val="both"/>
        <w:rPr>
          <w:rFonts w:ascii="Times New Roman" w:hAnsi="Times New Roman" w:cs="Times New Roman"/>
          <w:b/>
          <w:bCs/>
          <w:color w:val="auto"/>
          <w:sz w:val="24"/>
          <w:szCs w:val="24"/>
          <w:highlight w:val="none"/>
        </w:rPr>
      </w:pPr>
    </w:p>
    <w:p>
      <w:pPr>
        <w:widowControl/>
        <w:jc w:val="both"/>
        <w:rPr>
          <w:rFonts w:ascii="Times New Roman" w:hAnsi="Times New Roman" w:cs="Times New Roman"/>
          <w:b/>
          <w:bCs/>
          <w:color w:val="auto"/>
          <w:sz w:val="24"/>
          <w:szCs w:val="24"/>
          <w:highlight w:val="none"/>
        </w:rPr>
      </w:pPr>
    </w:p>
    <w:p>
      <w:pPr>
        <w:widowControl/>
        <w:jc w:val="both"/>
        <w:rPr>
          <w:rFonts w:ascii="Times New Roman" w:hAnsi="Times New Roman" w:cs="Times New Roman"/>
          <w:b/>
          <w:bCs/>
          <w:color w:val="auto"/>
          <w:sz w:val="24"/>
          <w:szCs w:val="24"/>
          <w:highlight w:val="none"/>
        </w:rPr>
      </w:pPr>
    </w:p>
    <w:p>
      <w:pPr>
        <w:widowControl/>
        <w:jc w:val="both"/>
        <w:rPr>
          <w:rFonts w:ascii="Times New Roman" w:hAnsi="Times New Roman" w:cs="Times New Roman"/>
          <w:b/>
          <w:bCs/>
          <w:color w:val="auto"/>
          <w:sz w:val="24"/>
          <w:szCs w:val="24"/>
          <w:highlight w:val="none"/>
        </w:rPr>
      </w:pPr>
    </w:p>
    <w:p>
      <w:pPr>
        <w:widowControl/>
        <w:jc w:val="both"/>
        <w:rPr>
          <w:rFonts w:ascii="Times New Roman" w:hAnsi="Times New Roman" w:cs="Times New Roman"/>
          <w:b/>
          <w:bCs/>
          <w:color w:val="auto"/>
          <w:sz w:val="24"/>
          <w:szCs w:val="24"/>
          <w:highlight w:val="none"/>
        </w:rPr>
      </w:pPr>
    </w:p>
    <w:p>
      <w:pPr>
        <w:widowControl/>
        <w:jc w:val="both"/>
        <w:rPr>
          <w:rFonts w:ascii="Times New Roman" w:hAnsi="Times New Roman" w:cs="Times New Roman"/>
          <w:b/>
          <w:bCs/>
          <w:color w:val="auto"/>
          <w:sz w:val="24"/>
          <w:szCs w:val="24"/>
          <w:highlight w:val="none"/>
        </w:rPr>
      </w:pPr>
    </w:p>
    <w:p>
      <w:pPr>
        <w:widowControl/>
        <w:jc w:val="both"/>
        <w:rPr>
          <w:rFonts w:ascii="Times New Roman" w:hAnsi="Times New Roman" w:cs="Times New Roman"/>
          <w:b/>
          <w:bCs/>
          <w:color w:val="auto"/>
          <w:sz w:val="24"/>
          <w:szCs w:val="24"/>
          <w:highlight w:val="none"/>
        </w:rPr>
      </w:pPr>
    </w:p>
    <w:p>
      <w:pPr>
        <w:widowControl/>
        <w:jc w:val="both"/>
        <w:rPr>
          <w:rFonts w:ascii="Times New Roman" w:hAnsi="Times New Roman" w:cs="Times New Roman"/>
          <w:b/>
          <w:bCs/>
          <w:color w:val="auto"/>
          <w:sz w:val="24"/>
          <w:szCs w:val="24"/>
          <w:highlight w:val="none"/>
        </w:rPr>
      </w:pPr>
    </w:p>
    <w:p>
      <w:pPr>
        <w:widowControl/>
        <w:jc w:val="both"/>
        <w:rPr>
          <w:rFonts w:ascii="Times New Roman" w:hAnsi="Times New Roman" w:cs="Times New Roman"/>
          <w:b/>
          <w:bCs/>
          <w:color w:val="auto"/>
          <w:sz w:val="24"/>
          <w:szCs w:val="24"/>
          <w:highlight w:val="none"/>
        </w:rPr>
      </w:pPr>
    </w:p>
    <w:p>
      <w:pPr>
        <w:widowControl/>
        <w:jc w:val="both"/>
        <w:rPr>
          <w:rFonts w:ascii="Times New Roman" w:hAnsi="Times New Roman" w:cs="Times New Roman"/>
          <w:b/>
          <w:bCs/>
          <w:color w:val="auto"/>
          <w:sz w:val="24"/>
          <w:szCs w:val="24"/>
          <w:highlight w:val="none"/>
        </w:rPr>
      </w:pPr>
    </w:p>
    <w:p>
      <w:pPr>
        <w:widowControl/>
        <w:jc w:val="both"/>
        <w:rPr>
          <w:rFonts w:ascii="Times New Roman" w:hAnsi="Times New Roman" w:cs="Times New Roman"/>
          <w:b/>
          <w:bCs/>
          <w:color w:val="auto"/>
          <w:sz w:val="24"/>
          <w:szCs w:val="24"/>
          <w:highlight w:val="none"/>
        </w:rPr>
      </w:pPr>
    </w:p>
    <w:p>
      <w:pPr>
        <w:widowControl/>
        <w:jc w:val="both"/>
        <w:rPr>
          <w:rFonts w:ascii="Times New Roman" w:hAnsi="Times New Roman" w:cs="Times New Roman"/>
          <w:b/>
          <w:bCs/>
          <w:color w:val="auto"/>
          <w:sz w:val="24"/>
          <w:szCs w:val="24"/>
          <w:highlight w:val="none"/>
        </w:rPr>
      </w:pPr>
    </w:p>
    <w:p>
      <w:pPr>
        <w:widowControl/>
        <w:jc w:val="both"/>
        <w:rPr>
          <w:rFonts w:ascii="Times New Roman" w:hAnsi="Times New Roman" w:cs="Times New Roman"/>
          <w:b/>
          <w:bCs/>
          <w:color w:val="auto"/>
          <w:sz w:val="24"/>
          <w:szCs w:val="24"/>
          <w:highlight w:val="none"/>
        </w:rPr>
      </w:pPr>
    </w:p>
    <w:p>
      <w:pPr>
        <w:widowControl/>
        <w:jc w:val="both"/>
        <w:rPr>
          <w:rFonts w:ascii="Times New Roman" w:hAnsi="Times New Roman" w:cs="Times New Roman"/>
          <w:b/>
          <w:bCs/>
          <w:color w:val="auto"/>
          <w:sz w:val="24"/>
          <w:szCs w:val="24"/>
          <w:highlight w:val="none"/>
        </w:rPr>
      </w:pPr>
    </w:p>
    <w:p>
      <w:pPr>
        <w:widowControl/>
        <w:jc w:val="both"/>
        <w:rPr>
          <w:rFonts w:ascii="Times New Roman" w:hAnsi="Times New Roman" w:cs="Times New Roman"/>
          <w:b/>
          <w:bCs/>
          <w:color w:val="auto"/>
          <w:sz w:val="24"/>
          <w:szCs w:val="24"/>
          <w:highlight w:val="none"/>
        </w:rPr>
      </w:pPr>
    </w:p>
    <w:p>
      <w:pPr>
        <w:widowControl/>
        <w:jc w:val="both"/>
        <w:rPr>
          <w:rFonts w:ascii="Times New Roman" w:hAnsi="Times New Roman" w:cs="Times New Roman"/>
          <w:b/>
          <w:bCs/>
          <w:color w:val="auto"/>
          <w:sz w:val="24"/>
          <w:szCs w:val="24"/>
          <w:highlight w:val="none"/>
        </w:rPr>
      </w:pPr>
    </w:p>
    <w:p>
      <w:pPr>
        <w:widowControl/>
        <w:jc w:val="center"/>
        <w:rPr>
          <w:rFonts w:ascii="Times New Roman" w:hAnsi="Times New Roman" w:cs="Times New Roman"/>
          <w:b/>
          <w:bCs/>
          <w:color w:val="auto"/>
          <w:sz w:val="24"/>
          <w:szCs w:val="24"/>
          <w:highlight w:val="none"/>
        </w:rPr>
      </w:pPr>
    </w:p>
    <w:p>
      <w:pPr>
        <w:widowControl/>
        <w:jc w:val="center"/>
        <w:rPr>
          <w:rFonts w:hint="eastAsia" w:ascii="Times New Roman" w:hAnsi="Times New Roman" w:cs="Times New Roman"/>
          <w:b/>
          <w:bCs/>
          <w:color w:val="auto"/>
          <w:sz w:val="24"/>
          <w:szCs w:val="24"/>
          <w:highlight w:val="none"/>
          <w:lang w:eastAsia="zh-CN"/>
        </w:rPr>
      </w:pPr>
      <w:r>
        <w:rPr>
          <w:rFonts w:ascii="Times New Roman" w:hAnsi="Times New Roman" w:cs="Times New Roman"/>
          <w:b/>
          <w:bCs/>
          <w:color w:val="auto"/>
          <w:sz w:val="24"/>
          <w:szCs w:val="24"/>
          <w:highlight w:val="none"/>
        </w:rPr>
        <w:t>图3-</w:t>
      </w:r>
      <w:r>
        <w:rPr>
          <w:rFonts w:hint="eastAsia" w:ascii="Times New Roman" w:hAnsi="Times New Roman" w:cs="Times New Roman"/>
          <w:b/>
          <w:bCs/>
          <w:color w:val="auto"/>
          <w:sz w:val="24"/>
          <w:szCs w:val="24"/>
          <w:highlight w:val="none"/>
        </w:rPr>
        <w:t>6</w:t>
      </w:r>
      <w:r>
        <w:rPr>
          <w:rFonts w:hint="default" w:ascii="Times New Roman" w:hAnsi="Times New Roman" w:cs="Times New Roman"/>
          <w:b/>
          <w:bCs/>
          <w:color w:val="auto"/>
          <w:sz w:val="24"/>
          <w:szCs w:val="24"/>
          <w:highlight w:val="none"/>
          <w:lang w:eastAsia="zh-CN"/>
        </w:rPr>
        <w:t>传统燃料汽车</w:t>
      </w:r>
      <w:r>
        <w:rPr>
          <w:rFonts w:hint="eastAsia" w:ascii="Times New Roman" w:hAnsi="Times New Roman" w:cs="Times New Roman"/>
          <w:b/>
          <w:bCs/>
          <w:color w:val="auto"/>
          <w:sz w:val="24"/>
          <w:szCs w:val="24"/>
          <w:highlight w:val="none"/>
          <w:lang w:eastAsia="zh-CN"/>
        </w:rPr>
        <w:t>拆解工艺流程图</w:t>
      </w:r>
    </w:p>
    <w:p>
      <w:pPr>
        <w:pStyle w:val="54"/>
        <w:spacing w:line="440" w:lineRule="exact"/>
        <w:rPr>
          <w:rFonts w:ascii="Times New Roman" w:hAnsi="Times New Roman" w:cs="Times New Roman"/>
          <w:color w:val="auto"/>
          <w:highlight w:val="none"/>
        </w:rPr>
      </w:pPr>
    </w:p>
    <w:p>
      <w:pPr>
        <w:pStyle w:val="54"/>
        <w:spacing w:line="440" w:lineRule="exact"/>
        <w:rPr>
          <w:rFonts w:ascii="Times New Roman" w:hAnsi="Times New Roman" w:cs="Times New Roman"/>
          <w:color w:val="auto"/>
          <w:highlight w:val="none"/>
        </w:rPr>
        <w:sectPr>
          <w:pgSz w:w="16838" w:h="11906" w:orient="landscape"/>
          <w:pgMar w:top="1803" w:right="1440" w:bottom="1803" w:left="1440" w:header="680" w:footer="992" w:gutter="0"/>
          <w:pgBorders>
            <w:top w:val="none" w:sz="0" w:space="0"/>
            <w:left w:val="none" w:sz="0" w:space="0"/>
            <w:bottom w:val="none" w:sz="0" w:space="0"/>
            <w:right w:val="none" w:sz="0" w:space="0"/>
          </w:pgBorders>
          <w:cols w:space="0" w:num="1"/>
          <w:docGrid w:type="lines" w:linePitch="312" w:charSpace="0"/>
        </w:sectPr>
      </w:pPr>
    </w:p>
    <w:p>
      <w:pPr>
        <w:pStyle w:val="83"/>
        <w:spacing w:line="360" w:lineRule="auto"/>
        <w:ind w:firstLine="482"/>
        <w:rPr>
          <w:rFonts w:ascii="Times New Roman" w:hAnsi="Times New Roman" w:cs="Times New Roman" w:eastAsiaTheme="minorEastAsia"/>
          <w:b/>
          <w:color w:val="auto"/>
          <w:kern w:val="2"/>
          <w:szCs w:val="24"/>
          <w:highlight w:val="none"/>
        </w:rPr>
      </w:pPr>
      <w:r>
        <w:rPr>
          <w:rFonts w:hint="default" w:ascii="Times New Roman" w:hAnsi="Times New Roman" w:cs="Times New Roman"/>
          <w:b/>
          <w:bCs/>
          <w:color w:val="auto"/>
          <w:sz w:val="24"/>
          <w:szCs w:val="24"/>
          <w:highlight w:val="none"/>
          <w:lang w:eastAsia="zh-CN"/>
        </w:rPr>
        <w:t>传统燃料汽车</w:t>
      </w:r>
      <w:r>
        <w:rPr>
          <w:rFonts w:hint="eastAsia" w:ascii="Times New Roman" w:hAnsi="Times New Roman" w:cs="Times New Roman"/>
          <w:b/>
          <w:bCs/>
          <w:color w:val="auto"/>
          <w:sz w:val="24"/>
          <w:szCs w:val="24"/>
          <w:highlight w:val="none"/>
          <w:lang w:eastAsia="zh-CN"/>
        </w:rPr>
        <w:t>拆解</w:t>
      </w:r>
      <w:r>
        <w:rPr>
          <w:rFonts w:ascii="Times New Roman" w:hAnsi="Times New Roman" w:cs="Times New Roman" w:eastAsiaTheme="minorEastAsia"/>
          <w:b/>
          <w:color w:val="auto"/>
          <w:kern w:val="2"/>
          <w:szCs w:val="24"/>
          <w:highlight w:val="none"/>
        </w:rPr>
        <w:t>工艺说明：</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（1）检查和登记</w:t>
      </w:r>
    </w:p>
    <w:p>
      <w:pPr>
        <w:tabs>
          <w:tab w:val="left" w:pos="6300"/>
          <w:tab w:val="left" w:pos="7770"/>
        </w:tabs>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收购的废旧汽车先进行检查和登记，主要检查废旧汽车发动机、散热器、变速器、差速器、油箱等总成部件的密封、破损情况。对于出现泄漏的总成部件，应采用适当的方式收集泄漏的液体或封住泄漏处，防止废液渗入地下。之后对报废汽车进行登记注册并拍照，将其主要信息录入电脑数据库，将信息上报相关管理部门。并在车身醒目位置贴上显示信息的标签后在车辆暂存区暂存。</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车辆检漏位置设置于厂区内大门进口处，检漏区地面拟采取硬化防渗处理并设置围堰，项目车辆检漏后由叉车运往相应的储存区域，事故车辆及出现漏油漏液的车辆优先拆解，经登记注册拍照后，直接送往拆解车间进行拆解。</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（2）拆解</w:t>
      </w:r>
      <w:r>
        <w:rPr>
          <w:rFonts w:hint="eastAsia" w:ascii="Times New Roman" w:hAnsi="Times New Roman" w:cs="Times New Roman"/>
          <w:color w:val="auto"/>
          <w:sz w:val="24"/>
          <w:szCs w:val="24"/>
          <w:highlight w:val="none"/>
          <w:lang w:eastAsia="zh-CN"/>
        </w:rPr>
        <w:t>预</w:t>
      </w:r>
      <w:r>
        <w:rPr>
          <w:rFonts w:hint="default" w:ascii="Times New Roman" w:hAnsi="Times New Roman" w:cs="Times New Roman"/>
          <w:color w:val="auto"/>
          <w:sz w:val="24"/>
          <w:szCs w:val="24"/>
          <w:highlight w:val="none"/>
        </w:rPr>
        <w:t>处理</w:t>
      </w:r>
    </w:p>
    <w:p>
      <w:pPr>
        <w:spacing w:line="360" w:lineRule="auto"/>
        <w:ind w:firstLine="480"/>
        <w:rPr>
          <w:rFonts w:hint="eastAsia"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rPr>
        <w:t>报废汽车检查和登记完毕后，运入拆解车间进行预拆解</w:t>
      </w:r>
      <w:r>
        <w:rPr>
          <w:rFonts w:hint="eastAsia" w:ascii="Times New Roman" w:hAnsi="Times New Roman" w:cs="Times New Roman"/>
          <w:color w:val="auto"/>
          <w:sz w:val="24"/>
          <w:szCs w:val="24"/>
          <w:highlight w:val="none"/>
          <w:lang w:eastAsia="zh-CN"/>
        </w:rPr>
        <w:t>。用叉车把要报废的车辆送到工位一预处理工位上，首先打开发送机盖并支撑牢固，用</w:t>
      </w:r>
      <w:r>
        <w:rPr>
          <w:rFonts w:hint="eastAsia" w:ascii="Times New Roman" w:hAnsi="Times New Roman" w:cs="Times New Roman"/>
          <w:color w:val="auto"/>
          <w:sz w:val="24"/>
          <w:szCs w:val="24"/>
          <w:highlight w:val="none"/>
          <w:lang w:val="en-US" w:eastAsia="zh-CN"/>
        </w:rPr>
        <w:t>5通道集中抽油机分别抽取转向油、刹车油、冷却液、玻璃水，用气动扳手和气动螺丝刀拆除蓄电池，用冷媒回收机回收氟利昂，抽取完毕后，把各个储液壶的盖拧回原处，把发动机盖轻轻合上。然后打开后备箱盖；拆除储气罐及其管道，打开燃油加油盖，并把内盖拧松，保证空气能进入。按动剪式液压举升机上升按钮，把举升机升到方便操作的位置，按动落锁按钮把举升机锁死，把发动机油底壳上的螺栓拧下来，并用5通道集中抽油机的接油盘回收发动机油，回收完毕后把螺栓拧回原位，用无火花钻孔抽油机从油箱最底部刺穿油箱，把燃油抽取干净，最后用上线平移机拖住汽车的底部把汽车送至工位二上。平移机上的平移系统是采用标准流水线行走系统，运行平稳，噪声低、定位准，夹持系统是采用液压系统，最大程度上保护汽车的完整性。</w:t>
      </w:r>
    </w:p>
    <w:p>
      <w:pPr>
        <w:spacing w:line="360" w:lineRule="auto"/>
        <w:ind w:firstLine="480"/>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（3）拆解处理</w:t>
      </w:r>
    </w:p>
    <w:p>
      <w:pPr>
        <w:spacing w:line="360" w:lineRule="auto"/>
        <w:ind w:firstLine="480"/>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工位二的工作内容是：拆除车辆的前后盖，轮胎和前后保险杠，首先用平移机把车辆放至输送带的支腿上，用风炮把轮胎螺栓打下来，用平移机把车辆提起到轮胎离地，把轮胎取下来，然后用气动扳手把汽车的前后盖取下来，用气动螺丝刀把前后保险杠拆下来，拆下来的部件分类放致物料箱内，推送至置顶储存位置，最后工人离开工位按动本工位完工按钮，输送带采用数控编程控制，并且每个工位上配有一个操作按钮，必须7个工位的操作按钮同时亮起输送带才会运转，这样更加保护了使用的安全性和准确性。</w:t>
      </w:r>
    </w:p>
    <w:p>
      <w:pPr>
        <w:spacing w:line="360" w:lineRule="auto"/>
        <w:ind w:firstLine="480"/>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车辆通过输送带自动走至工位三。首先用小吊车把车门固定好，用手持液压剪把车辆的铰链剪断，把车门取下来，然后用玻璃切割装置把挡风玻璃沿四周切割一圈，用真空吸盘把挡风玻璃取下来，用气动扳手把叶子板拆下来。</w:t>
      </w:r>
    </w:p>
    <w:p>
      <w:pPr>
        <w:spacing w:line="360" w:lineRule="auto"/>
        <w:ind w:firstLine="480"/>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车辆通过输送带自动走至工位四。工位四的工作内容是：拆除车辆的中控台、安全气囊、方向盘。首先用扳手把安全气囊拆除，后续在专门区域用安全气囊引爆机引爆；然后用气动扳手把方向盘拆除；用气动螺丝刀和手动钢筋将中控台拆除。</w:t>
      </w:r>
    </w:p>
    <w:p>
      <w:pPr>
        <w:spacing w:line="360" w:lineRule="auto"/>
        <w:ind w:firstLine="480"/>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车辆通过输送带自动走至工位五。首先用气动扳手和气动螺丝刀把座椅拆下来，用手动钢筋剪把座椅下面的主线束剪断，再拆除电器件和顶棚内饰。</w:t>
      </w:r>
    </w:p>
    <w:p>
      <w:pPr>
        <w:spacing w:line="360" w:lineRule="auto"/>
        <w:ind w:firstLine="480"/>
        <w:rPr>
          <w:rFonts w:hint="default"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lang w:val="en-US" w:eastAsia="zh-CN"/>
        </w:rPr>
        <w:t>车辆通过输送带自动走至工位六。首先用气动扳手和气动螺丝刀把发动机仓里除发动机以外所有的配件拆除。</w:t>
      </w:r>
    </w:p>
    <w:p>
      <w:pPr>
        <w:spacing w:line="360" w:lineRule="auto"/>
        <w:ind w:firstLine="480"/>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车辆通过输送带自动走至工位七。首先用翻转机械手把车辆翻转90度，拆除底盘配件，使用的是电液压驱动翻转机械手，运行平稳、安全可靠、操作灵活，安全性能好，配有液压油缸自锁功能，油缸上配备双向液压锁。用气动扳手拆掉前后桥的螺丝，如果螺丝因为锈蚀了很难拆解掉，用等离子气动割刀直接切割开来，拆除前后桥以后用小吊车取走，缓解工人劳动强度。用气动扳手和手动钢筋剪拆除排气管和三元催化器。用翻转机械手把车辆重新放回输送带支腿上面。</w:t>
      </w:r>
    </w:p>
    <w:p>
      <w:pPr>
        <w:spacing w:line="360" w:lineRule="auto"/>
        <w:ind w:firstLine="480"/>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车辆通过输送带自动走至工位八。首先用翻转机械手把车辆翻转90度，拆除发动机底面减震螺栓，并用手动钢筋剪除去相关拉线，然后用翻转机械手把车辆重新放回输送带支腿上面。用小吊车上面的勾具勾住发动机上的起吊环，拆除发动机上面减震螺栓，并除去相关拉线，再用小吊车把发动机连带变速箱一起取出，最后工人离开工位按动本工位完工按钮。</w:t>
      </w:r>
    </w:p>
    <w:p>
      <w:pPr>
        <w:spacing w:line="360" w:lineRule="auto"/>
        <w:ind w:firstLine="480"/>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车辆通过输送带自动走至预下线。用下线平移机拖住汽车的底部把汽车送至下线工位上，用叉车把处于下线位置的车壳移至车壳存储区。</w:t>
      </w:r>
    </w:p>
    <w:p>
      <w:pPr>
        <w:pStyle w:val="54"/>
        <w:spacing w:line="440" w:lineRule="exact"/>
        <w:rPr>
          <w:rFonts w:ascii="Times New Roman" w:hAnsi="Times New Roman" w:cs="Times New Roman"/>
          <w:color w:val="auto"/>
          <w:highlight w:val="none"/>
        </w:rPr>
        <w:sectPr>
          <w:pgSz w:w="11906" w:h="16838"/>
          <w:pgMar w:top="1440" w:right="1803" w:bottom="1440" w:left="1803" w:header="680" w:footer="992" w:gutter="0"/>
          <w:pgBorders>
            <w:top w:val="none" w:sz="0" w:space="0"/>
            <w:left w:val="none" w:sz="0" w:space="0"/>
            <w:bottom w:val="none" w:sz="0" w:space="0"/>
            <w:right w:val="none" w:sz="0" w:space="0"/>
          </w:pgBorders>
          <w:cols w:space="0" w:num="1"/>
          <w:docGrid w:type="lines" w:linePitch="312" w:charSpace="0"/>
        </w:sectPr>
      </w:pPr>
    </w:p>
    <w:p>
      <w:pPr>
        <w:pStyle w:val="54"/>
        <w:spacing w:line="440" w:lineRule="exact"/>
        <w:rPr>
          <w:rFonts w:ascii="Times New Roman" w:hAnsi="Times New Roman" w:cs="Times New Roman"/>
          <w:b/>
          <w:bCs/>
          <w:color w:val="auto"/>
          <w:highlight w:val="none"/>
        </w:rPr>
      </w:pPr>
      <w:r>
        <w:rPr>
          <w:rFonts w:hint="eastAsia" w:ascii="Times New Roman" w:hAnsi="Times New Roman" w:cs="Times New Roman"/>
          <w:color w:val="auto"/>
          <w:highlight w:val="none"/>
          <w:lang w:val="en-US" w:eastAsia="zh-CN"/>
        </w:rPr>
        <w:t>电动汽车拆解工艺流程</w:t>
      </w:r>
      <w:r>
        <w:rPr>
          <w:rFonts w:ascii="Times New Roman" w:hAnsi="Times New Roman" w:cs="Times New Roman"/>
          <w:color w:val="auto"/>
          <w:highlight w:val="none"/>
        </w:rPr>
        <w:t>见图3-</w:t>
      </w:r>
      <w:r>
        <w:rPr>
          <w:rFonts w:hint="eastAsia" w:ascii="Times New Roman" w:hAnsi="Times New Roman" w:cs="Times New Roman"/>
          <w:color w:val="auto"/>
          <w:highlight w:val="none"/>
        </w:rPr>
        <w:t>7</w:t>
      </w:r>
      <w:r>
        <w:rPr>
          <w:rFonts w:ascii="Times New Roman" w:hAnsi="Times New Roman" w:cs="Times New Roman"/>
          <w:color w:val="auto"/>
          <w:highlight w:val="none"/>
        </w:rPr>
        <w:t>。</w:t>
      </w:r>
    </w:p>
    <w:p>
      <w:pPr>
        <w:pStyle w:val="83"/>
        <w:spacing w:line="360" w:lineRule="auto"/>
        <w:jc w:val="center"/>
        <w:rPr>
          <w:rFonts w:ascii="Times New Roman" w:hAnsi="Times New Roman" w:cs="Times New Roman" w:eastAsiaTheme="minorEastAsia"/>
          <w:b/>
          <w:color w:val="auto"/>
          <w:kern w:val="2"/>
          <w:szCs w:val="24"/>
          <w:highlight w:val="none"/>
        </w:rPr>
      </w:pPr>
      <w:r>
        <w:rPr>
          <w:color w:val="auto"/>
          <w:highlight w:val="none"/>
        </w:rPr>
        <w:drawing>
          <wp:inline distT="0" distB="0" distL="114300" distR="114300">
            <wp:extent cx="6943725" cy="4476750"/>
            <wp:effectExtent l="0" t="0" r="9525" b="0"/>
            <wp:docPr id="3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
                    <pic:cNvPicPr>
                      <a:picLocks noChangeAspect="1"/>
                    </pic:cNvPicPr>
                  </pic:nvPicPr>
                  <pic:blipFill>
                    <a:blip r:embed="rId17"/>
                    <a:stretch>
                      <a:fillRect/>
                    </a:stretch>
                  </pic:blipFill>
                  <pic:spPr>
                    <a:xfrm>
                      <a:off x="0" y="0"/>
                      <a:ext cx="6943725" cy="4476750"/>
                    </a:xfrm>
                    <a:prstGeom prst="rect">
                      <a:avLst/>
                    </a:prstGeom>
                    <a:noFill/>
                    <a:ln>
                      <a:noFill/>
                    </a:ln>
                  </pic:spPr>
                </pic:pic>
              </a:graphicData>
            </a:graphic>
          </wp:inline>
        </w:drawing>
      </w:r>
    </w:p>
    <w:p>
      <w:pPr>
        <w:widowControl/>
        <w:jc w:val="center"/>
        <w:rPr>
          <w:rFonts w:ascii="Times New Roman" w:hAnsi="Times New Roman" w:cs="Times New Roman"/>
          <w:b/>
          <w:bCs/>
          <w:color w:val="auto"/>
          <w:sz w:val="24"/>
          <w:szCs w:val="24"/>
          <w:highlight w:val="none"/>
        </w:rPr>
      </w:pPr>
      <w:r>
        <w:rPr>
          <w:rFonts w:ascii="Times New Roman" w:hAnsi="Times New Roman" w:cs="Times New Roman"/>
          <w:b/>
          <w:bCs/>
          <w:color w:val="auto"/>
          <w:sz w:val="24"/>
          <w:szCs w:val="24"/>
          <w:highlight w:val="none"/>
        </w:rPr>
        <w:t>图3-</w:t>
      </w:r>
      <w:r>
        <w:rPr>
          <w:rFonts w:hint="eastAsia" w:ascii="Times New Roman" w:hAnsi="Times New Roman" w:cs="Times New Roman"/>
          <w:b/>
          <w:bCs/>
          <w:color w:val="auto"/>
          <w:sz w:val="24"/>
          <w:szCs w:val="24"/>
          <w:highlight w:val="none"/>
        </w:rPr>
        <w:t>7</w:t>
      </w:r>
      <w:r>
        <w:rPr>
          <w:rFonts w:hint="eastAsia" w:ascii="Times New Roman" w:hAnsi="Times New Roman" w:cs="Times New Roman"/>
          <w:b/>
          <w:bCs/>
          <w:color w:val="auto"/>
          <w:sz w:val="24"/>
          <w:szCs w:val="24"/>
          <w:highlight w:val="none"/>
          <w:lang w:val="en-US" w:eastAsia="zh-CN"/>
        </w:rPr>
        <w:t>电动汽车拆解工艺流程</w:t>
      </w:r>
      <w:r>
        <w:rPr>
          <w:rFonts w:ascii="Times New Roman" w:hAnsi="Times New Roman" w:cs="Times New Roman"/>
          <w:b/>
          <w:bCs/>
          <w:color w:val="auto"/>
          <w:sz w:val="24"/>
          <w:szCs w:val="24"/>
          <w:highlight w:val="none"/>
        </w:rPr>
        <w:t>图</w:t>
      </w:r>
    </w:p>
    <w:p>
      <w:pPr>
        <w:pStyle w:val="54"/>
        <w:spacing w:line="440" w:lineRule="exact"/>
        <w:rPr>
          <w:rFonts w:ascii="Times New Roman" w:hAnsi="Times New Roman" w:cs="Times New Roman"/>
          <w:color w:val="auto"/>
          <w:highlight w:val="none"/>
        </w:rPr>
        <w:sectPr>
          <w:pgSz w:w="16838" w:h="11906" w:orient="landscape"/>
          <w:pgMar w:top="1803" w:right="1440" w:bottom="1803" w:left="1440" w:header="680" w:footer="992" w:gutter="0"/>
          <w:pgBorders>
            <w:top w:val="none" w:sz="0" w:space="0"/>
            <w:left w:val="none" w:sz="0" w:space="0"/>
            <w:bottom w:val="none" w:sz="0" w:space="0"/>
            <w:right w:val="none" w:sz="0" w:space="0"/>
          </w:pgBorders>
          <w:cols w:space="0" w:num="1"/>
          <w:docGrid w:type="lines" w:linePitch="312" w:charSpace="0"/>
        </w:sectPr>
      </w:pPr>
    </w:p>
    <w:p>
      <w:pPr>
        <w:pStyle w:val="83"/>
        <w:spacing w:line="360" w:lineRule="auto"/>
        <w:ind w:firstLine="482"/>
        <w:rPr>
          <w:rFonts w:ascii="Times New Roman" w:hAnsi="Times New Roman" w:cs="Times New Roman" w:eastAsiaTheme="minorEastAsia"/>
          <w:b/>
          <w:color w:val="auto"/>
          <w:kern w:val="2"/>
          <w:szCs w:val="24"/>
          <w:highlight w:val="none"/>
        </w:rPr>
      </w:pPr>
      <w:r>
        <w:rPr>
          <w:rFonts w:hint="eastAsia" w:ascii="Times New Roman" w:hAnsi="Times New Roman" w:cs="Times New Roman"/>
          <w:b/>
          <w:bCs/>
          <w:color w:val="auto"/>
          <w:sz w:val="24"/>
          <w:szCs w:val="24"/>
          <w:highlight w:val="none"/>
          <w:lang w:val="en-US" w:eastAsia="zh-CN"/>
        </w:rPr>
        <w:t>电动汽车拆解工艺</w:t>
      </w:r>
      <w:r>
        <w:rPr>
          <w:rFonts w:ascii="Times New Roman" w:hAnsi="Times New Roman" w:cs="Times New Roman" w:eastAsiaTheme="minorEastAsia"/>
          <w:b/>
          <w:color w:val="auto"/>
          <w:kern w:val="2"/>
          <w:szCs w:val="24"/>
          <w:highlight w:val="none"/>
        </w:rPr>
        <w:t>说明：</w:t>
      </w:r>
    </w:p>
    <w:p>
      <w:pPr>
        <w:spacing w:line="360" w:lineRule="auto"/>
        <w:ind w:firstLine="480"/>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电动汽车的详细拆解与传统燃料汽车拆解工艺流程稍有不同，首先拆除动力蓄电池以及电池组采用液冷方式的冷却液，再拆除电线电缆及驱动电机，剩余部分拆解工艺流程与传统燃料汽车拆解工艺流程相同。</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（1）检查和登记</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收购的废旧汽车先进行检查和登记，主要检查</w:t>
      </w:r>
      <w:r>
        <w:rPr>
          <w:rFonts w:hint="eastAsia" w:ascii="Times New Roman" w:hAnsi="Times New Roman" w:cs="Times New Roman"/>
          <w:color w:val="auto"/>
          <w:sz w:val="24"/>
          <w:szCs w:val="24"/>
          <w:highlight w:val="none"/>
          <w:lang w:val="en-US" w:eastAsia="zh-CN"/>
        </w:rPr>
        <w:t>车身有无漏液、有无带电；检查动力蓄电池电压、温度等参数进行检测，评估其安全状态</w:t>
      </w:r>
      <w:r>
        <w:rPr>
          <w:rFonts w:hint="default" w:ascii="Times New Roman" w:hAnsi="Times New Roman" w:cs="Times New Roman"/>
          <w:color w:val="auto"/>
          <w:sz w:val="24"/>
          <w:szCs w:val="24"/>
          <w:highlight w:val="none"/>
        </w:rPr>
        <w:t>。</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（2）拆解</w:t>
      </w:r>
      <w:r>
        <w:rPr>
          <w:rFonts w:hint="eastAsia" w:ascii="Times New Roman" w:hAnsi="Times New Roman" w:cs="Times New Roman"/>
          <w:color w:val="auto"/>
          <w:sz w:val="24"/>
          <w:szCs w:val="24"/>
          <w:highlight w:val="none"/>
          <w:lang w:eastAsia="zh-CN"/>
        </w:rPr>
        <w:t>预</w:t>
      </w:r>
      <w:r>
        <w:rPr>
          <w:rFonts w:hint="default" w:ascii="Times New Roman" w:hAnsi="Times New Roman" w:cs="Times New Roman"/>
          <w:color w:val="auto"/>
          <w:sz w:val="24"/>
          <w:szCs w:val="24"/>
          <w:highlight w:val="none"/>
        </w:rPr>
        <w:t>处理</w:t>
      </w:r>
    </w:p>
    <w:p>
      <w:pPr>
        <w:spacing w:line="360" w:lineRule="auto"/>
        <w:ind w:firstLine="480"/>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断开动力蓄电池高圧回路；在室内或有防雨顶棚的拆解预处理平台上使用防静电工具排空留在车内的废液，并使用专用容器分类回收；使用防静电设备回收电动汽车空调制冷剂。拆卸动力蓄电池阻挡部件，如引擎盖、行李箱车门等；②断开电压线束（电缆）；采用相应方式拆卸不同安装位置的动力蓄电池：宜采用绝缘夹臂立式拆卸通道位置的动力蓄电池；宜采用绝缘吊具吊装式拆卸混合动力汽车和机舱位置的动力蓄电池；宜采用升降工装设备或绝缘吊具平移式拆卸客货类电动汽车和行李箱位置的动力蓄电池；收集采用液冷结构方式散热的动力蓄电池包（组）内的冷却液；对拆卸下的动力蓄电池线束接头、正负极片等外露线束和金属物进行绝缘处理，并在其明显位置处贴上标签，标明绝缘状况；收集驱动电机总成内残余冷却液后，拆除驱动电机。</w:t>
      </w:r>
    </w:p>
    <w:p>
      <w:pPr>
        <w:spacing w:line="360" w:lineRule="auto"/>
        <w:ind w:firstLine="480"/>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厂区具备电动汽车贮存场地、动力蓄电池贮存场地和动力蓄电池拆卸专用场地。场地设有高压警示、区域隔离及危险识别标志，并具有防腐防渗紧急收集池及专用容器，用以收集动力蓄电池等破损时泄露出的电解液、冷却液等有毒有害液体；电动汽车贮存场地封闭且单独管理，并保持通风，安全环保设施设备齐全；动力蓄电池贮存场地设在易燃、易爆等危险品仓库及高压输电线路防护区域以外，并设有烟雾报警器等火灾自动报警设施；动力蓄电池拆卸专用场地地面做绝缘处理</w:t>
      </w:r>
    </w:p>
    <w:p>
      <w:pPr>
        <w:numPr>
          <w:ilvl w:val="0"/>
          <w:numId w:val="5"/>
        </w:numPr>
        <w:spacing w:line="360" w:lineRule="auto"/>
        <w:ind w:firstLine="480"/>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拆解处理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拆解预处理后的新能源汽车运至拆解流水线，进一步的拆解。</w:t>
      </w:r>
    </w:p>
    <w:p>
      <w:pPr>
        <w:pStyle w:val="54"/>
        <w:spacing w:line="360" w:lineRule="auto"/>
        <w:ind w:left="0" w:leftChars="0" w:firstLine="0" w:firstLineChars="0"/>
        <w:rPr>
          <w:rFonts w:hint="eastAsia" w:ascii="Times New Roman" w:hAnsi="Times New Roman" w:cs="Times New Roman" w:eastAsiaTheme="minorEastAsia"/>
          <w:b/>
          <w:bCs/>
          <w:color w:val="auto"/>
          <w:kern w:val="2"/>
          <w:sz w:val="24"/>
          <w:szCs w:val="24"/>
          <w:highlight w:val="none"/>
          <w:lang w:val="en-US" w:eastAsia="zh-CN" w:bidi="ar-SA"/>
        </w:rPr>
      </w:pPr>
    </w:p>
    <w:p>
      <w:pPr>
        <w:pStyle w:val="54"/>
        <w:spacing w:line="360" w:lineRule="auto"/>
        <w:ind w:left="0" w:leftChars="0" w:firstLine="0" w:firstLineChars="0"/>
        <w:rPr>
          <w:rFonts w:hint="eastAsia" w:ascii="Times New Roman" w:hAnsi="Times New Roman" w:cs="Times New Roman" w:eastAsiaTheme="minorEastAsia"/>
          <w:b/>
          <w:bCs/>
          <w:color w:val="auto"/>
          <w:kern w:val="2"/>
          <w:sz w:val="24"/>
          <w:szCs w:val="24"/>
          <w:highlight w:val="none"/>
          <w:lang w:val="en-US" w:eastAsia="zh-CN" w:bidi="ar-SA"/>
        </w:rPr>
      </w:pPr>
    </w:p>
    <w:p>
      <w:pPr>
        <w:pStyle w:val="54"/>
        <w:spacing w:line="360" w:lineRule="auto"/>
        <w:ind w:left="0" w:leftChars="0" w:firstLine="0" w:firstLineChars="0"/>
        <w:rPr>
          <w:rFonts w:hint="default" w:ascii="Times New Roman" w:hAnsi="Times New Roman" w:cs="Times New Roman" w:eastAsiaTheme="minorEastAsia"/>
          <w:b/>
          <w:bCs/>
          <w:color w:val="auto"/>
          <w:kern w:val="2"/>
          <w:sz w:val="24"/>
          <w:szCs w:val="24"/>
          <w:highlight w:val="none"/>
          <w:lang w:val="en-US" w:eastAsia="zh-CN" w:bidi="ar-SA"/>
        </w:rPr>
      </w:pPr>
      <w:r>
        <w:rPr>
          <w:rFonts w:hint="eastAsia" w:ascii="Times New Roman" w:hAnsi="Times New Roman" w:cs="Times New Roman" w:eastAsiaTheme="minorEastAsia"/>
          <w:b/>
          <w:bCs/>
          <w:color w:val="auto"/>
          <w:kern w:val="2"/>
          <w:sz w:val="24"/>
          <w:szCs w:val="24"/>
          <w:highlight w:val="none"/>
          <w:lang w:val="en-US" w:eastAsia="zh-CN" w:bidi="ar-SA"/>
        </w:rPr>
        <w:t>3.5.3</w:t>
      </w:r>
      <w:r>
        <w:rPr>
          <w:rFonts w:hint="default" w:ascii="Times New Roman" w:hAnsi="Times New Roman" w:cs="Times New Roman" w:eastAsiaTheme="minorEastAsia"/>
          <w:b/>
          <w:bCs/>
          <w:color w:val="auto"/>
          <w:kern w:val="2"/>
          <w:sz w:val="24"/>
          <w:szCs w:val="24"/>
          <w:highlight w:val="none"/>
          <w:lang w:val="en-US" w:eastAsia="zh-CN" w:bidi="ar-SA"/>
        </w:rPr>
        <w:t>存储和管理</w:t>
      </w:r>
    </w:p>
    <w:p>
      <w:pPr>
        <w:spacing w:line="360" w:lineRule="auto"/>
        <w:ind w:firstLine="480"/>
        <w:rPr>
          <w:rFonts w:hint="eastAsia" w:ascii="Times New Roman" w:hAnsi="Times New Roman" w:cs="Times New Roman"/>
          <w:b/>
          <w:bCs/>
          <w:color w:val="auto"/>
          <w:sz w:val="24"/>
          <w:szCs w:val="24"/>
          <w:highlight w:val="none"/>
          <w:lang w:eastAsia="zh-CN"/>
        </w:rPr>
      </w:pPr>
      <w:r>
        <w:rPr>
          <w:rFonts w:hint="eastAsia" w:ascii="Times New Roman" w:hAnsi="Times New Roman" w:cs="Times New Roman"/>
          <w:b/>
          <w:bCs/>
          <w:color w:val="auto"/>
          <w:sz w:val="24"/>
          <w:szCs w:val="24"/>
          <w:highlight w:val="none"/>
          <w:lang w:eastAsia="zh-CN"/>
        </w:rPr>
        <w:t>报废机动车贮存</w:t>
      </w:r>
    </w:p>
    <w:p>
      <w:pPr>
        <w:numPr>
          <w:ilvl w:val="0"/>
          <w:numId w:val="6"/>
        </w:numPr>
        <w:spacing w:line="360" w:lineRule="auto"/>
        <w:ind w:firstLine="480"/>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t>所有车辆应避免侧放、倒放，电动汽车在动力蓄电池未拆卸前不应叠放；</w:t>
      </w:r>
    </w:p>
    <w:p>
      <w:pPr>
        <w:numPr>
          <w:ilvl w:val="0"/>
          <w:numId w:val="6"/>
        </w:numPr>
        <w:spacing w:line="360" w:lineRule="auto"/>
        <w:ind w:firstLine="480"/>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t>机动车如需叠放，应使上下车辆的重心尽量重合，且不应超过</w:t>
      </w:r>
      <w:r>
        <w:rPr>
          <w:rFonts w:hint="eastAsia" w:ascii="Times New Roman" w:hAnsi="Times New Roman" w:cs="Times New Roman"/>
          <w:color w:val="auto"/>
          <w:sz w:val="24"/>
          <w:szCs w:val="24"/>
          <w:highlight w:val="none"/>
          <w:lang w:val="en-US" w:eastAsia="zh-CN"/>
        </w:rPr>
        <w:t>3层。2层和3层叠放时，高度分别不应超过.3m和4.5m。大型车辆应单层贮存。采用框架结构存放的，要保证安全性，并易于装卸。</w:t>
      </w:r>
    </w:p>
    <w:p>
      <w:pPr>
        <w:numPr>
          <w:ilvl w:val="0"/>
          <w:numId w:val="6"/>
        </w:numPr>
        <w:spacing w:line="360" w:lineRule="auto"/>
        <w:ind w:firstLine="480"/>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val="en-US" w:eastAsia="zh-CN"/>
        </w:rPr>
        <w:t>电动汽车在动力蓄电池未拆卸前应单独贮存，并采取防火、防水、绝缘、隔热等安全保障措施。</w:t>
      </w:r>
    </w:p>
    <w:p>
      <w:pPr>
        <w:numPr>
          <w:ilvl w:val="0"/>
          <w:numId w:val="6"/>
        </w:numPr>
        <w:spacing w:line="360" w:lineRule="auto"/>
        <w:ind w:firstLine="480"/>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val="en-US" w:eastAsia="zh-CN"/>
        </w:rPr>
        <w:t>电动汽车中的事故车以及发生动力蓄电池破损的车辆隔离贮存。</w:t>
      </w:r>
    </w:p>
    <w:p>
      <w:pPr>
        <w:spacing w:line="360" w:lineRule="auto"/>
        <w:ind w:firstLine="480"/>
        <w:rPr>
          <w:rFonts w:hint="eastAsia" w:ascii="Times New Roman" w:hAnsi="Times New Roman" w:cs="Times New Roman"/>
          <w:b/>
          <w:bCs/>
          <w:color w:val="auto"/>
          <w:sz w:val="24"/>
          <w:szCs w:val="24"/>
          <w:highlight w:val="none"/>
          <w:lang w:eastAsia="zh-CN"/>
        </w:rPr>
      </w:pPr>
      <w:r>
        <w:rPr>
          <w:rFonts w:hint="eastAsia" w:ascii="Times New Roman" w:hAnsi="Times New Roman" w:cs="Times New Roman"/>
          <w:b/>
          <w:bCs/>
          <w:color w:val="auto"/>
          <w:sz w:val="24"/>
          <w:szCs w:val="24"/>
          <w:highlight w:val="none"/>
          <w:lang w:eastAsia="zh-CN"/>
        </w:rPr>
        <w:t>固体废物贮存</w:t>
      </w:r>
    </w:p>
    <w:p>
      <w:pPr>
        <w:numPr>
          <w:ilvl w:val="0"/>
          <w:numId w:val="7"/>
        </w:numPr>
        <w:spacing w:line="360" w:lineRule="auto"/>
        <w:ind w:firstLine="480"/>
        <w:rPr>
          <w:rFonts w:hint="eastAsia"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eastAsia="zh-CN"/>
        </w:rPr>
        <w:t>固体废物的贮存设施应符合</w:t>
      </w:r>
      <w:r>
        <w:rPr>
          <w:rFonts w:hint="eastAsia" w:ascii="Times New Roman" w:hAnsi="Times New Roman" w:cs="Times New Roman"/>
          <w:b w:val="0"/>
          <w:bCs w:val="0"/>
          <w:color w:val="auto"/>
          <w:sz w:val="24"/>
          <w:szCs w:val="24"/>
          <w:highlight w:val="none"/>
          <w:lang w:val="en-US" w:eastAsia="zh-CN"/>
        </w:rPr>
        <w:t>GB18599、GB18597、HJ2025的要求；</w:t>
      </w:r>
    </w:p>
    <w:p>
      <w:pPr>
        <w:numPr>
          <w:ilvl w:val="0"/>
          <w:numId w:val="7"/>
        </w:numPr>
        <w:spacing w:line="360" w:lineRule="auto"/>
        <w:ind w:firstLine="480"/>
        <w:rPr>
          <w:rFonts w:hint="default"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一般工业固体废物贮存设施及包装物应按GB15562.2进行标识，危险废物贮存设施及包装物的标志应符合GB18597的要求。所有固体废物避免混合、混放；</w:t>
      </w:r>
    </w:p>
    <w:p>
      <w:pPr>
        <w:numPr>
          <w:ilvl w:val="0"/>
          <w:numId w:val="7"/>
        </w:numPr>
        <w:spacing w:line="360" w:lineRule="auto"/>
        <w:ind w:firstLine="480"/>
        <w:rPr>
          <w:rFonts w:hint="default"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妥善处置固体废物，不应非法转移、倾倒、利用和处置；</w:t>
      </w:r>
    </w:p>
    <w:p>
      <w:pPr>
        <w:numPr>
          <w:ilvl w:val="0"/>
          <w:numId w:val="7"/>
        </w:numPr>
        <w:spacing w:line="360" w:lineRule="auto"/>
        <w:ind w:firstLine="480"/>
        <w:rPr>
          <w:rFonts w:hint="default"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不同类型的制冷剂应分别回收，使用专门容器单独存放；</w:t>
      </w:r>
    </w:p>
    <w:p>
      <w:pPr>
        <w:numPr>
          <w:ilvl w:val="0"/>
          <w:numId w:val="7"/>
        </w:numPr>
        <w:spacing w:line="360" w:lineRule="auto"/>
        <w:ind w:firstLine="480"/>
        <w:rPr>
          <w:rFonts w:hint="default"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废弃电器、铅酸蓄电池贮存场地不得有明火；</w:t>
      </w:r>
    </w:p>
    <w:p>
      <w:pPr>
        <w:numPr>
          <w:ilvl w:val="0"/>
          <w:numId w:val="7"/>
        </w:numPr>
        <w:spacing w:line="360" w:lineRule="auto"/>
        <w:ind w:firstLine="480"/>
        <w:rPr>
          <w:rFonts w:hint="default"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容器和装置要防漏和防止洒溅，未引爆安全气囊的贮存装置应防爆，并对其进行日常性检查；</w:t>
      </w:r>
    </w:p>
    <w:p>
      <w:pPr>
        <w:numPr>
          <w:ilvl w:val="0"/>
          <w:numId w:val="7"/>
        </w:numPr>
        <w:spacing w:line="360" w:lineRule="auto"/>
        <w:ind w:firstLine="480"/>
        <w:rPr>
          <w:rFonts w:hint="default"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对拆解后的所有固体废物分类贮存和标识。</w:t>
      </w:r>
    </w:p>
    <w:p>
      <w:pPr>
        <w:spacing w:line="360" w:lineRule="auto"/>
        <w:ind w:firstLine="480"/>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回用件贮存</w:t>
      </w:r>
    </w:p>
    <w:p>
      <w:pPr>
        <w:numPr>
          <w:ilvl w:val="0"/>
          <w:numId w:val="8"/>
        </w:numPr>
        <w:spacing w:line="360" w:lineRule="auto"/>
        <w:ind w:firstLine="480"/>
        <w:rPr>
          <w:rFonts w:hint="eastAsia"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回用件应分类贮存和标识，存放在封闭或半封闭的贮存场地中；</w:t>
      </w:r>
    </w:p>
    <w:p>
      <w:pPr>
        <w:numPr>
          <w:ilvl w:val="0"/>
          <w:numId w:val="8"/>
        </w:numPr>
        <w:spacing w:line="360" w:lineRule="auto"/>
        <w:ind w:firstLine="480"/>
        <w:rPr>
          <w:rFonts w:hint="default"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回用件贮存前应做清洁等处理。</w:t>
      </w:r>
    </w:p>
    <w:p>
      <w:pPr>
        <w:spacing w:line="360" w:lineRule="auto"/>
        <w:ind w:firstLine="480"/>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动力蓄电池储存</w:t>
      </w:r>
    </w:p>
    <w:p>
      <w:pPr>
        <w:numPr>
          <w:ilvl w:val="0"/>
          <w:numId w:val="9"/>
        </w:numPr>
        <w:spacing w:line="360" w:lineRule="auto"/>
        <w:ind w:firstLine="480"/>
        <w:rPr>
          <w:rFonts w:hint="eastAsia"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动力蓄电池的贮存应按照WB/T1061的贮存要求执行；</w:t>
      </w:r>
    </w:p>
    <w:p>
      <w:pPr>
        <w:numPr>
          <w:ilvl w:val="0"/>
          <w:numId w:val="9"/>
        </w:numPr>
        <w:spacing w:line="360" w:lineRule="auto"/>
        <w:ind w:firstLine="480"/>
        <w:rPr>
          <w:rFonts w:hint="default"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动力蓄电池多层贮存时应采取框架结构并确保承重安全，且便于存放；</w:t>
      </w:r>
    </w:p>
    <w:p>
      <w:pPr>
        <w:numPr>
          <w:ilvl w:val="0"/>
          <w:numId w:val="9"/>
        </w:numPr>
        <w:spacing w:line="360" w:lineRule="auto"/>
        <w:ind w:firstLine="480"/>
        <w:rPr>
          <w:rFonts w:hint="default"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存在漏电、漏液、破损等安全隐患的动力蓄电池应采取适当方式处理，并隔离存放。</w:t>
      </w:r>
    </w:p>
    <w:p>
      <w:pPr>
        <w:pStyle w:val="54"/>
        <w:spacing w:line="360" w:lineRule="auto"/>
        <w:ind w:left="0" w:leftChars="0" w:firstLine="0" w:firstLineChars="0"/>
        <w:rPr>
          <w:rFonts w:hint="eastAsia" w:ascii="Times New Roman" w:hAnsi="Times New Roman" w:cs="Times New Roman" w:eastAsiaTheme="minorEastAsia"/>
          <w:b/>
          <w:bCs/>
          <w:color w:val="auto"/>
          <w:kern w:val="2"/>
          <w:sz w:val="24"/>
          <w:szCs w:val="24"/>
          <w:highlight w:val="none"/>
          <w:lang w:val="en-US" w:eastAsia="zh-CN" w:bidi="ar-SA"/>
        </w:rPr>
      </w:pPr>
      <w:r>
        <w:rPr>
          <w:rFonts w:hint="eastAsia" w:ascii="Times New Roman" w:hAnsi="Times New Roman" w:cs="Times New Roman" w:eastAsiaTheme="minorEastAsia"/>
          <w:b/>
          <w:bCs/>
          <w:color w:val="auto"/>
          <w:kern w:val="2"/>
          <w:sz w:val="24"/>
          <w:szCs w:val="24"/>
          <w:highlight w:val="none"/>
          <w:lang w:val="en-US" w:eastAsia="zh-CN" w:bidi="ar-SA"/>
        </w:rPr>
        <w:t>3.5.4项目投入运行后主要污染物产生环节及污染因子</w:t>
      </w:r>
    </w:p>
    <w:p>
      <w:pPr>
        <w:numPr>
          <w:ilvl w:val="0"/>
          <w:numId w:val="0"/>
        </w:numPr>
        <w:spacing w:line="360" w:lineRule="auto"/>
        <w:ind w:firstLine="480" w:firstLineChars="200"/>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本项目污染工序及污染因子汇总情况见表</w:t>
      </w:r>
      <w:r>
        <w:rPr>
          <w:rFonts w:hint="eastAsia" w:ascii="Times New Roman" w:hAnsi="Times New Roman" w:cs="Times New Roman"/>
          <w:b w:val="0"/>
          <w:bCs w:val="0"/>
          <w:color w:val="auto"/>
          <w:sz w:val="24"/>
          <w:szCs w:val="24"/>
          <w:highlight w:val="none"/>
          <w:lang w:val="en-US" w:eastAsia="zh-CN"/>
        </w:rPr>
        <w:t>3</w:t>
      </w:r>
      <w:r>
        <w:rPr>
          <w:rFonts w:hint="default" w:ascii="Times New Roman" w:hAnsi="Times New Roman" w:cs="Times New Roman"/>
          <w:b w:val="0"/>
          <w:bCs w:val="0"/>
          <w:color w:val="auto"/>
          <w:sz w:val="24"/>
          <w:szCs w:val="24"/>
          <w:highlight w:val="none"/>
          <w:lang w:val="en-US" w:eastAsia="zh-CN"/>
        </w:rPr>
        <w:t>-</w:t>
      </w:r>
      <w:r>
        <w:rPr>
          <w:rFonts w:hint="eastAsia" w:ascii="Times New Roman" w:hAnsi="Times New Roman" w:cs="Times New Roman"/>
          <w:b w:val="0"/>
          <w:bCs w:val="0"/>
          <w:color w:val="auto"/>
          <w:sz w:val="24"/>
          <w:szCs w:val="24"/>
          <w:highlight w:val="none"/>
          <w:lang w:val="en-US" w:eastAsia="zh-CN"/>
        </w:rPr>
        <w:t>5</w:t>
      </w:r>
      <w:r>
        <w:rPr>
          <w:rFonts w:hint="default" w:ascii="Times New Roman" w:hAnsi="Times New Roman" w:cs="Times New Roman"/>
          <w:b w:val="0"/>
          <w:bCs w:val="0"/>
          <w:color w:val="auto"/>
          <w:sz w:val="24"/>
          <w:szCs w:val="24"/>
          <w:highlight w:val="none"/>
          <w:lang w:val="en-US" w:eastAsia="zh-CN"/>
        </w:rPr>
        <w:t>。</w:t>
      </w:r>
    </w:p>
    <w:p>
      <w:pPr>
        <w:spacing w:line="360" w:lineRule="auto"/>
        <w:jc w:val="center"/>
        <w:rPr>
          <w:rFonts w:hint="default" w:ascii="Times New Roman" w:hAnsi="Times New Roman" w:cs="Times New Roman"/>
          <w:b/>
          <w:color w:val="auto"/>
          <w:kern w:val="0"/>
          <w:sz w:val="24"/>
          <w:highlight w:val="none"/>
        </w:rPr>
      </w:pPr>
      <w:r>
        <w:rPr>
          <w:rFonts w:hint="eastAsia" w:ascii="Times New Roman" w:hAnsi="Times New Roman" w:cs="Times New Roman"/>
          <w:b/>
          <w:color w:val="auto"/>
          <w:kern w:val="0"/>
          <w:sz w:val="24"/>
          <w:highlight w:val="none"/>
          <w:lang w:eastAsia="zh-CN"/>
        </w:rPr>
        <w:t>表</w:t>
      </w:r>
      <w:r>
        <w:rPr>
          <w:rFonts w:hint="eastAsia" w:ascii="Times New Roman" w:hAnsi="Times New Roman" w:cs="Times New Roman"/>
          <w:b/>
          <w:color w:val="auto"/>
          <w:kern w:val="0"/>
          <w:sz w:val="24"/>
          <w:highlight w:val="none"/>
          <w:lang w:val="en-US" w:eastAsia="zh-CN"/>
        </w:rPr>
        <w:t xml:space="preserve">3-5 </w:t>
      </w:r>
      <w:r>
        <w:rPr>
          <w:rFonts w:hint="default" w:ascii="Times New Roman" w:hAnsi="Times New Roman" w:cs="Times New Roman"/>
          <w:b/>
          <w:color w:val="auto"/>
          <w:kern w:val="0"/>
          <w:sz w:val="24"/>
          <w:highlight w:val="none"/>
        </w:rPr>
        <w:t>项目主要污染源及污染因子识别汇总表</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7"/>
        <w:gridCol w:w="2337"/>
        <w:gridCol w:w="1843"/>
        <w:gridCol w:w="32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污染类型</w:t>
            </w:r>
          </w:p>
        </w:tc>
        <w:tc>
          <w:tcPr>
            <w:tcW w:w="137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污染源及污染物类型</w:t>
            </w:r>
          </w:p>
        </w:tc>
        <w:tc>
          <w:tcPr>
            <w:tcW w:w="10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主要污染因子</w:t>
            </w:r>
          </w:p>
        </w:tc>
        <w:tc>
          <w:tcPr>
            <w:tcW w:w="19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控制措施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废气</w:t>
            </w:r>
          </w:p>
        </w:tc>
        <w:tc>
          <w:tcPr>
            <w:tcW w:w="137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拆解预处理区废油液回收过程挥发废气</w:t>
            </w:r>
          </w:p>
        </w:tc>
        <w:tc>
          <w:tcPr>
            <w:tcW w:w="10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非甲烷总烃</w:t>
            </w:r>
          </w:p>
        </w:tc>
        <w:tc>
          <w:tcPr>
            <w:tcW w:w="19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废油液回收废气经收集、活性炭吸附后通过15米排气筒排放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rPr>
            </w:pPr>
          </w:p>
        </w:tc>
        <w:tc>
          <w:tcPr>
            <w:tcW w:w="137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拆解预处理区制冷剂回收过程挥发废气</w:t>
            </w:r>
          </w:p>
        </w:tc>
        <w:tc>
          <w:tcPr>
            <w:tcW w:w="10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氟化物</w:t>
            </w:r>
          </w:p>
        </w:tc>
        <w:tc>
          <w:tcPr>
            <w:tcW w:w="19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highlight w:val="none"/>
              </w:rPr>
              <w:t>采用密闭式制冷剂回收装置对制冷剂进行回收，并收集在密闭容器中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rPr>
            </w:pPr>
          </w:p>
        </w:tc>
        <w:tc>
          <w:tcPr>
            <w:tcW w:w="137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拆解区钢材切割、压块产生的烟粉尘</w:t>
            </w:r>
          </w:p>
        </w:tc>
        <w:tc>
          <w:tcPr>
            <w:tcW w:w="10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颗粒物</w:t>
            </w:r>
          </w:p>
        </w:tc>
        <w:tc>
          <w:tcPr>
            <w:tcW w:w="19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采用移动式烟尘净化器处理后在车间内循环排放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rPr>
            </w:pPr>
          </w:p>
        </w:tc>
        <w:tc>
          <w:tcPr>
            <w:tcW w:w="137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安全气囊引爆粉尘</w:t>
            </w:r>
          </w:p>
        </w:tc>
        <w:tc>
          <w:tcPr>
            <w:tcW w:w="10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颗粒物</w:t>
            </w:r>
          </w:p>
        </w:tc>
        <w:tc>
          <w:tcPr>
            <w:tcW w:w="19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用密闭式引爆装置收集，不排放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废水</w:t>
            </w:r>
          </w:p>
        </w:tc>
        <w:tc>
          <w:tcPr>
            <w:tcW w:w="137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拆解预处理及拆解区地面冲洗</w:t>
            </w:r>
          </w:p>
        </w:tc>
        <w:tc>
          <w:tcPr>
            <w:tcW w:w="10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COD、SS、石油类</w:t>
            </w:r>
          </w:p>
        </w:tc>
        <w:tc>
          <w:tcPr>
            <w:tcW w:w="19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经隔油沉淀处理达标后纳管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rPr>
            </w:pPr>
          </w:p>
        </w:tc>
        <w:tc>
          <w:tcPr>
            <w:tcW w:w="137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职工人员生活污水</w:t>
            </w:r>
          </w:p>
        </w:tc>
        <w:tc>
          <w:tcPr>
            <w:tcW w:w="10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COD、氨氮</w:t>
            </w:r>
          </w:p>
        </w:tc>
        <w:tc>
          <w:tcPr>
            <w:tcW w:w="19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化粪池预处理达标后纳管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固废</w:t>
            </w:r>
          </w:p>
        </w:tc>
        <w:tc>
          <w:tcPr>
            <w:tcW w:w="245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eastAsia="zh-CN"/>
              </w:rPr>
              <w:t>残余燃料油及废油液</w:t>
            </w:r>
          </w:p>
        </w:tc>
        <w:tc>
          <w:tcPr>
            <w:tcW w:w="190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废油液、废制冷剂、含汞含铅部件、废电容器、废电路板、废动力蓄电池、废铅酸蓄电池、废机油滤清器、废催化系统、废密封胶、石棉废物、废液化气罐、废油泥、废劳保用品委托宁波市北仑环保固废处置有限公司进行安全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p>
        </w:tc>
        <w:tc>
          <w:tcPr>
            <w:tcW w:w="245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eastAsia="zh-CN"/>
              </w:rPr>
              <w:t>污水处理装置隔油产生的废油泥</w:t>
            </w:r>
          </w:p>
        </w:tc>
        <w:tc>
          <w:tcPr>
            <w:tcW w:w="190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rPr>
            </w:pPr>
          </w:p>
        </w:tc>
        <w:tc>
          <w:tcPr>
            <w:tcW w:w="245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GB" w:eastAsia="zh-CN"/>
              </w:rPr>
              <w:t>废动力蓄电池、废铅酸蓄电池</w:t>
            </w:r>
            <w:r>
              <w:rPr>
                <w:rFonts w:hint="default" w:ascii="Times New Roman" w:hAnsi="Times New Roman" w:eastAsia="宋体" w:cs="Times New Roman"/>
                <w:color w:val="auto"/>
                <w:sz w:val="21"/>
                <w:szCs w:val="21"/>
                <w:highlight w:val="none"/>
                <w:vertAlign w:val="baseline"/>
                <w:lang w:eastAsia="zh-CN"/>
              </w:rPr>
              <w:t>、废催化系统、含多氯联苯的废电容器、含铅汞部件、废油箱、废机油滤清器、废液化气罐、废制冷剂</w:t>
            </w:r>
            <w:r>
              <w:rPr>
                <w:rFonts w:hint="eastAsia" w:ascii="Times New Roman" w:hAnsi="Times New Roman" w:eastAsia="宋体" w:cs="Times New Roman"/>
                <w:color w:val="auto"/>
                <w:sz w:val="21"/>
                <w:szCs w:val="21"/>
                <w:highlight w:val="none"/>
                <w:vertAlign w:val="baseline"/>
                <w:lang w:eastAsia="zh-CN"/>
              </w:rPr>
              <w:t>、废活性炭</w:t>
            </w:r>
          </w:p>
        </w:tc>
        <w:tc>
          <w:tcPr>
            <w:tcW w:w="190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rPr>
            </w:pPr>
          </w:p>
        </w:tc>
        <w:tc>
          <w:tcPr>
            <w:tcW w:w="245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GB" w:eastAsia="zh-CN"/>
              </w:rPr>
              <w:t>废橡胶、陶瓷、泡沫、废玻璃、引爆后的安全气囊</w:t>
            </w:r>
            <w:r>
              <w:rPr>
                <w:rFonts w:hint="default" w:ascii="Times New Roman" w:hAnsi="Times New Roman" w:eastAsia="宋体" w:cs="Times New Roman"/>
                <w:color w:val="auto"/>
                <w:sz w:val="21"/>
                <w:szCs w:val="21"/>
                <w:highlight w:val="none"/>
                <w:vertAlign w:val="baseline"/>
                <w:lang w:eastAsia="zh-CN"/>
              </w:rPr>
              <w:t>等可回收加工再生利用的一般固体废物</w:t>
            </w:r>
          </w:p>
        </w:tc>
        <w:tc>
          <w:tcPr>
            <w:tcW w:w="19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val="en-GB" w:eastAsia="zh-CN"/>
              </w:rPr>
              <w:t>项目固体废弃物废橡胶、陶瓷、泡沫、废玻璃、引爆后的安全气囊、废燃料油和废气处理产生的废活性炭分类收集后委托宁波隆欣环境科技有限公司处置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rPr>
            </w:pPr>
          </w:p>
        </w:tc>
        <w:tc>
          <w:tcPr>
            <w:tcW w:w="245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eastAsia="zh-CN"/>
              </w:rPr>
              <w:t>职工人员生活垃圾</w:t>
            </w:r>
          </w:p>
        </w:tc>
        <w:tc>
          <w:tcPr>
            <w:tcW w:w="19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委托环卫部门清运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噪声</w:t>
            </w:r>
          </w:p>
        </w:tc>
        <w:tc>
          <w:tcPr>
            <w:tcW w:w="245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拆解及切割设备、安全气囊引爆装置、空压机等设备运行噪声</w:t>
            </w:r>
          </w:p>
        </w:tc>
        <w:tc>
          <w:tcPr>
            <w:tcW w:w="19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（1）在设备与基础之间安装减震材料，如橡胶、弹簧、减震垫等。</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（2）风机、水泵设置隔声罩，风机设备进出口要安装消声器。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（3）定期维护设备，避免老化引起的噪声，必要时应及时更换。</w:t>
            </w:r>
          </w:p>
        </w:tc>
      </w:tr>
    </w:tbl>
    <w:p>
      <w:pPr>
        <w:pStyle w:val="4"/>
        <w:spacing w:before="0" w:after="0" w:line="360" w:lineRule="auto"/>
        <w:rPr>
          <w:rFonts w:ascii="Times New Roman" w:hAnsi="Times New Roman" w:cs="Times New Roman" w:eastAsiaTheme="minorEastAsia"/>
          <w:color w:val="auto"/>
          <w:sz w:val="24"/>
          <w:szCs w:val="24"/>
          <w:highlight w:val="none"/>
        </w:rPr>
      </w:pPr>
      <w:bookmarkStart w:id="24" w:name="_Toc21957"/>
      <w:r>
        <w:rPr>
          <w:rFonts w:ascii="Times New Roman" w:hAnsi="Times New Roman" w:cs="Times New Roman" w:eastAsiaTheme="minorEastAsia"/>
          <w:color w:val="auto"/>
          <w:sz w:val="24"/>
          <w:szCs w:val="24"/>
          <w:highlight w:val="none"/>
        </w:rPr>
        <w:t>3.6 项目变动情况</w:t>
      </w:r>
      <w:bookmarkEnd w:id="24"/>
    </w:p>
    <w:p>
      <w:pPr>
        <w:spacing w:after="120" w:line="360" w:lineRule="auto"/>
        <w:ind w:left="109" w:leftChars="52" w:right="128" w:rightChars="61" w:firstLine="480" w:firstLineChars="200"/>
        <w:rPr>
          <w:rFonts w:hint="eastAsia" w:ascii="Times New Roman" w:hAnsi="Times New Roman" w:cs="Times New Roman" w:eastAsiaTheme="minorEastAsia"/>
          <w:color w:val="auto"/>
          <w:kern w:val="0"/>
          <w:sz w:val="24"/>
          <w:highlight w:val="none"/>
          <w:lang w:eastAsia="zh-CN"/>
        </w:rPr>
      </w:pPr>
      <w:r>
        <w:rPr>
          <w:rFonts w:hint="eastAsia" w:ascii="Times New Roman" w:hAnsi="Times New Roman" w:cs="Times New Roman"/>
          <w:color w:val="auto"/>
          <w:kern w:val="0"/>
          <w:sz w:val="24"/>
          <w:highlight w:val="none"/>
          <w:lang w:eastAsia="zh-CN"/>
        </w:rPr>
        <w:t>经现场核查，工程建设内容及加工能力与项目《环境影响报告书》及其批复基本一致，环评中废油液回收废气为无组织排放，现状为废气经收集、活性炭吸附后通过15米排气筒排放。</w:t>
      </w:r>
    </w:p>
    <w:p>
      <w:pPr>
        <w:rPr>
          <w:rFonts w:ascii="Times New Roman" w:hAnsi="Times New Roman" w:cs="Times New Roman"/>
          <w:color w:val="auto"/>
          <w:sz w:val="28"/>
          <w:szCs w:val="28"/>
          <w:highlight w:val="none"/>
        </w:rPr>
      </w:pPr>
      <w:r>
        <w:rPr>
          <w:rFonts w:ascii="Times New Roman" w:hAnsi="Times New Roman" w:cs="Times New Roman"/>
          <w:color w:val="auto"/>
          <w:sz w:val="28"/>
          <w:szCs w:val="28"/>
          <w:highlight w:val="none"/>
        </w:rPr>
        <w:br w:type="page"/>
      </w:r>
    </w:p>
    <w:p>
      <w:pPr>
        <w:pStyle w:val="3"/>
        <w:spacing w:before="0" w:after="0" w:line="360" w:lineRule="auto"/>
        <w:jc w:val="left"/>
        <w:rPr>
          <w:rFonts w:ascii="Times New Roman" w:hAnsi="Times New Roman" w:cs="Times New Roman"/>
          <w:color w:val="auto"/>
          <w:sz w:val="28"/>
          <w:szCs w:val="28"/>
          <w:highlight w:val="none"/>
        </w:rPr>
      </w:pPr>
      <w:bookmarkStart w:id="25" w:name="_Toc22159"/>
      <w:r>
        <w:rPr>
          <w:rFonts w:ascii="Times New Roman" w:hAnsi="Times New Roman" w:cs="Times New Roman"/>
          <w:color w:val="auto"/>
          <w:sz w:val="28"/>
          <w:szCs w:val="28"/>
          <w:highlight w:val="none"/>
        </w:rPr>
        <w:t>4、环境保护设施</w:t>
      </w:r>
      <w:bookmarkEnd w:id="25"/>
    </w:p>
    <w:p>
      <w:pPr>
        <w:pStyle w:val="4"/>
        <w:spacing w:before="0" w:after="0" w:line="360" w:lineRule="auto"/>
        <w:rPr>
          <w:rFonts w:ascii="Times New Roman" w:hAnsi="Times New Roman" w:cs="Times New Roman" w:eastAsiaTheme="minorEastAsia"/>
          <w:color w:val="auto"/>
          <w:sz w:val="24"/>
          <w:szCs w:val="24"/>
          <w:highlight w:val="none"/>
        </w:rPr>
      </w:pPr>
      <w:bookmarkStart w:id="26" w:name="_Toc13600"/>
      <w:r>
        <w:rPr>
          <w:rFonts w:ascii="Times New Roman" w:hAnsi="Times New Roman" w:cs="Times New Roman" w:eastAsiaTheme="minorEastAsia"/>
          <w:color w:val="auto"/>
          <w:sz w:val="24"/>
          <w:szCs w:val="24"/>
          <w:highlight w:val="none"/>
        </w:rPr>
        <w:t>4.1污染物治理/处置设施</w:t>
      </w:r>
      <w:bookmarkEnd w:id="26"/>
    </w:p>
    <w:p>
      <w:pPr>
        <w:spacing w:line="360" w:lineRule="auto"/>
        <w:rPr>
          <w:rFonts w:ascii="Times New Roman" w:hAnsi="Times New Roman" w:cs="Times New Roman"/>
          <w:b/>
          <w:color w:val="auto"/>
          <w:sz w:val="24"/>
          <w:szCs w:val="24"/>
          <w:highlight w:val="none"/>
        </w:rPr>
      </w:pPr>
      <w:r>
        <w:rPr>
          <w:rFonts w:ascii="Times New Roman" w:hAnsi="Times New Roman" w:cs="Times New Roman"/>
          <w:b/>
          <w:color w:val="auto"/>
          <w:sz w:val="24"/>
          <w:szCs w:val="24"/>
          <w:highlight w:val="none"/>
        </w:rPr>
        <w:t>4.1.1废水</w:t>
      </w:r>
    </w:p>
    <w:p>
      <w:pPr>
        <w:spacing w:line="360" w:lineRule="auto"/>
        <w:ind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根据现场调查，企业产生的废水为</w:t>
      </w:r>
      <w:r>
        <w:rPr>
          <w:rFonts w:hint="default" w:ascii="Times New Roman" w:hAnsi="Times New Roman" w:cs="Times New Roman"/>
          <w:color w:val="auto"/>
          <w:sz w:val="24"/>
          <w:szCs w:val="24"/>
          <w:highlight w:val="none"/>
          <w:lang w:eastAsia="zh-CN"/>
        </w:rPr>
        <w:t>拆解预处理</w:t>
      </w:r>
      <w:r>
        <w:rPr>
          <w:rFonts w:hint="eastAsia" w:ascii="Times New Roman" w:hAnsi="Times New Roman" w:cs="Times New Roman"/>
          <w:color w:val="auto"/>
          <w:sz w:val="24"/>
          <w:szCs w:val="24"/>
          <w:highlight w:val="none"/>
          <w:lang w:eastAsia="zh-CN"/>
        </w:rPr>
        <w:t>废水、</w:t>
      </w:r>
      <w:r>
        <w:rPr>
          <w:rFonts w:hint="default" w:ascii="Times New Roman" w:hAnsi="Times New Roman" w:cs="Times New Roman"/>
          <w:color w:val="auto"/>
          <w:sz w:val="24"/>
          <w:szCs w:val="24"/>
          <w:highlight w:val="none"/>
          <w:lang w:eastAsia="zh-CN"/>
        </w:rPr>
        <w:t>拆解区地面冲洗</w:t>
      </w:r>
      <w:r>
        <w:rPr>
          <w:rFonts w:hint="eastAsia" w:ascii="Times New Roman" w:hAnsi="Times New Roman" w:cs="Times New Roman"/>
          <w:color w:val="auto"/>
          <w:sz w:val="24"/>
          <w:szCs w:val="24"/>
          <w:highlight w:val="none"/>
          <w:lang w:eastAsia="zh-CN"/>
        </w:rPr>
        <w:t>废水和</w:t>
      </w:r>
      <w:r>
        <w:rPr>
          <w:rFonts w:ascii="Times New Roman" w:hAnsi="Times New Roman" w:cs="Times New Roman"/>
          <w:color w:val="auto"/>
          <w:sz w:val="24"/>
          <w:szCs w:val="24"/>
          <w:highlight w:val="none"/>
        </w:rPr>
        <w:t>员工生活废水，</w:t>
      </w:r>
      <w:r>
        <w:rPr>
          <w:rFonts w:hint="eastAsia" w:ascii="Times New Roman" w:hAnsi="Times New Roman" w:cs="Times New Roman"/>
          <w:color w:val="auto"/>
          <w:sz w:val="24"/>
          <w:szCs w:val="24"/>
          <w:highlight w:val="none"/>
          <w:lang w:eastAsia="zh-CN"/>
        </w:rPr>
        <w:t>生产废水经隔油沉淀处理达标后纳管，生活污水</w:t>
      </w:r>
      <w:r>
        <w:rPr>
          <w:rFonts w:ascii="Times New Roman" w:hAnsi="Times New Roman" w:cs="Times New Roman"/>
          <w:color w:val="auto"/>
          <w:sz w:val="24"/>
          <w:szCs w:val="24"/>
          <w:highlight w:val="none"/>
        </w:rPr>
        <w:t>经化粪池预处理后</w:t>
      </w:r>
      <w:r>
        <w:rPr>
          <w:rFonts w:hint="eastAsia" w:ascii="Times New Roman" w:hAnsi="Times New Roman" w:cs="Times New Roman"/>
          <w:color w:val="auto"/>
          <w:sz w:val="24"/>
          <w:szCs w:val="24"/>
          <w:highlight w:val="none"/>
        </w:rPr>
        <w:t>纳入市政污水管网</w:t>
      </w:r>
      <w:r>
        <w:rPr>
          <w:rFonts w:ascii="Times New Roman" w:hAnsi="Times New Roman" w:cs="Times New Roman"/>
          <w:color w:val="auto"/>
          <w:sz w:val="24"/>
          <w:szCs w:val="24"/>
          <w:highlight w:val="none"/>
        </w:rPr>
        <w:t>，项目废水排放及防治措施见表4-1。</w:t>
      </w:r>
    </w:p>
    <w:p>
      <w:pPr>
        <w:spacing w:line="240" w:lineRule="auto"/>
        <w:jc w:val="center"/>
        <w:rPr>
          <w:rFonts w:ascii="Times New Roman" w:hAnsi="Times New Roman" w:cs="Times New Roman"/>
          <w:b/>
          <w:bCs/>
          <w:color w:val="auto"/>
          <w:sz w:val="24"/>
          <w:szCs w:val="24"/>
          <w:highlight w:val="none"/>
        </w:rPr>
      </w:pPr>
      <w:r>
        <w:rPr>
          <w:rFonts w:ascii="Times New Roman" w:hAnsi="Times New Roman" w:cs="Times New Roman"/>
          <w:b/>
          <w:bCs/>
          <w:color w:val="auto"/>
          <w:sz w:val="24"/>
          <w:szCs w:val="24"/>
          <w:highlight w:val="none"/>
        </w:rPr>
        <w:t>表4-1废水排放及防治措施</w:t>
      </w:r>
    </w:p>
    <w:tbl>
      <w:tblPr>
        <w:tblStyle w:val="23"/>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75"/>
        <w:gridCol w:w="1365"/>
        <w:gridCol w:w="1080"/>
        <w:gridCol w:w="2700"/>
        <w:gridCol w:w="13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75" w:type="dxa"/>
            <w:vMerge w:val="restart"/>
            <w:tcBorders>
              <w:tl2br w:val="nil"/>
              <w:tr2bl w:val="nil"/>
            </w:tcBorders>
            <w:vAlign w:val="center"/>
          </w:tcPr>
          <w:p>
            <w:pPr>
              <w:jc w:val="center"/>
              <w:rPr>
                <w:rFonts w:ascii="Times New Roman" w:hAnsi="Times New Roman" w:cs="Times New Roman"/>
                <w:b/>
                <w:color w:val="auto"/>
                <w:szCs w:val="21"/>
                <w:highlight w:val="none"/>
              </w:rPr>
            </w:pPr>
            <w:r>
              <w:rPr>
                <w:rFonts w:ascii="Times New Roman" w:hAnsi="Times New Roman" w:cs="Times New Roman"/>
                <w:b/>
                <w:color w:val="auto"/>
                <w:szCs w:val="21"/>
                <w:highlight w:val="none"/>
              </w:rPr>
              <w:t>污染源名称</w:t>
            </w:r>
          </w:p>
        </w:tc>
        <w:tc>
          <w:tcPr>
            <w:tcW w:w="1365" w:type="dxa"/>
            <w:vMerge w:val="restart"/>
            <w:tcBorders>
              <w:tl2br w:val="nil"/>
              <w:tr2bl w:val="nil"/>
            </w:tcBorders>
            <w:vAlign w:val="center"/>
          </w:tcPr>
          <w:p>
            <w:pPr>
              <w:jc w:val="center"/>
              <w:rPr>
                <w:rFonts w:ascii="Times New Roman" w:hAnsi="Times New Roman" w:cs="Times New Roman"/>
                <w:b/>
                <w:color w:val="auto"/>
                <w:szCs w:val="21"/>
                <w:highlight w:val="none"/>
              </w:rPr>
            </w:pPr>
            <w:r>
              <w:rPr>
                <w:rFonts w:ascii="Times New Roman" w:hAnsi="Times New Roman" w:cs="Times New Roman"/>
                <w:b/>
                <w:color w:val="auto"/>
                <w:szCs w:val="21"/>
                <w:highlight w:val="none"/>
              </w:rPr>
              <w:t>污染物名称</w:t>
            </w:r>
          </w:p>
        </w:tc>
        <w:tc>
          <w:tcPr>
            <w:tcW w:w="1080" w:type="dxa"/>
            <w:vMerge w:val="restart"/>
            <w:tcBorders>
              <w:tl2br w:val="nil"/>
              <w:tr2bl w:val="nil"/>
            </w:tcBorders>
            <w:vAlign w:val="center"/>
          </w:tcPr>
          <w:p>
            <w:pPr>
              <w:jc w:val="center"/>
              <w:rPr>
                <w:rFonts w:ascii="Times New Roman" w:hAnsi="Times New Roman" w:cs="Times New Roman"/>
                <w:b/>
                <w:color w:val="auto"/>
                <w:szCs w:val="21"/>
                <w:highlight w:val="none"/>
              </w:rPr>
            </w:pPr>
            <w:r>
              <w:rPr>
                <w:rFonts w:ascii="Times New Roman" w:hAnsi="Times New Roman" w:cs="Times New Roman"/>
                <w:b/>
                <w:color w:val="auto"/>
                <w:szCs w:val="21"/>
                <w:highlight w:val="none"/>
              </w:rPr>
              <w:t>产生量（t/a）</w:t>
            </w:r>
          </w:p>
        </w:tc>
        <w:tc>
          <w:tcPr>
            <w:tcW w:w="4002" w:type="dxa"/>
            <w:gridSpan w:val="2"/>
            <w:tcBorders>
              <w:tl2br w:val="nil"/>
              <w:tr2bl w:val="nil"/>
            </w:tcBorders>
            <w:vAlign w:val="center"/>
          </w:tcPr>
          <w:p>
            <w:pPr>
              <w:ind w:firstLine="420"/>
              <w:jc w:val="center"/>
              <w:rPr>
                <w:rFonts w:ascii="Times New Roman" w:hAnsi="Times New Roman" w:cs="Times New Roman"/>
                <w:b/>
                <w:color w:val="auto"/>
                <w:szCs w:val="21"/>
                <w:highlight w:val="none"/>
              </w:rPr>
            </w:pPr>
            <w:r>
              <w:rPr>
                <w:rFonts w:ascii="Times New Roman" w:hAnsi="Times New Roman" w:cs="Times New Roman"/>
                <w:b/>
                <w:color w:val="auto"/>
                <w:szCs w:val="21"/>
                <w:highlight w:val="none"/>
              </w:rPr>
              <w:t>处理设施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75" w:type="dxa"/>
            <w:vMerge w:val="continue"/>
            <w:tcBorders>
              <w:tl2br w:val="nil"/>
              <w:tr2bl w:val="nil"/>
            </w:tcBorders>
            <w:vAlign w:val="center"/>
          </w:tcPr>
          <w:p>
            <w:pPr>
              <w:jc w:val="center"/>
              <w:rPr>
                <w:rFonts w:ascii="Times New Roman" w:hAnsi="Times New Roman" w:cs="Times New Roman"/>
                <w:b/>
                <w:color w:val="auto"/>
                <w:szCs w:val="21"/>
                <w:highlight w:val="none"/>
              </w:rPr>
            </w:pPr>
          </w:p>
        </w:tc>
        <w:tc>
          <w:tcPr>
            <w:tcW w:w="1365" w:type="dxa"/>
            <w:vMerge w:val="continue"/>
            <w:tcBorders>
              <w:tl2br w:val="nil"/>
              <w:tr2bl w:val="nil"/>
            </w:tcBorders>
            <w:vAlign w:val="center"/>
          </w:tcPr>
          <w:p>
            <w:pPr>
              <w:jc w:val="center"/>
              <w:rPr>
                <w:rFonts w:ascii="Times New Roman" w:hAnsi="Times New Roman" w:cs="Times New Roman"/>
                <w:b/>
                <w:color w:val="auto"/>
                <w:szCs w:val="21"/>
                <w:highlight w:val="none"/>
              </w:rPr>
            </w:pPr>
          </w:p>
        </w:tc>
        <w:tc>
          <w:tcPr>
            <w:tcW w:w="1080" w:type="dxa"/>
            <w:vMerge w:val="continue"/>
            <w:tcBorders>
              <w:tl2br w:val="nil"/>
              <w:tr2bl w:val="nil"/>
            </w:tcBorders>
            <w:vAlign w:val="center"/>
          </w:tcPr>
          <w:p>
            <w:pPr>
              <w:autoSpaceDE w:val="0"/>
              <w:autoSpaceDN w:val="0"/>
              <w:adjustRightInd w:val="0"/>
              <w:jc w:val="center"/>
              <w:rPr>
                <w:rFonts w:ascii="Times New Roman" w:hAnsi="Times New Roman" w:cs="Times New Roman"/>
                <w:b/>
                <w:color w:val="auto"/>
                <w:szCs w:val="21"/>
                <w:highlight w:val="none"/>
              </w:rPr>
            </w:pPr>
          </w:p>
        </w:tc>
        <w:tc>
          <w:tcPr>
            <w:tcW w:w="2700" w:type="dxa"/>
            <w:tcBorders>
              <w:tl2br w:val="nil"/>
              <w:tr2bl w:val="nil"/>
            </w:tcBorders>
            <w:vAlign w:val="center"/>
          </w:tcPr>
          <w:p>
            <w:pPr>
              <w:jc w:val="center"/>
              <w:rPr>
                <w:rFonts w:ascii="Times New Roman" w:hAnsi="Times New Roman" w:cs="Times New Roman"/>
                <w:b/>
                <w:color w:val="auto"/>
                <w:szCs w:val="21"/>
                <w:highlight w:val="none"/>
              </w:rPr>
            </w:pPr>
            <w:r>
              <w:rPr>
                <w:rFonts w:ascii="Times New Roman" w:hAnsi="Times New Roman" w:cs="Times New Roman"/>
                <w:b/>
                <w:color w:val="auto"/>
                <w:szCs w:val="21"/>
                <w:highlight w:val="none"/>
              </w:rPr>
              <w:t>环评要求</w:t>
            </w:r>
          </w:p>
        </w:tc>
        <w:tc>
          <w:tcPr>
            <w:tcW w:w="1302" w:type="dxa"/>
            <w:tcBorders>
              <w:tl2br w:val="nil"/>
              <w:tr2bl w:val="nil"/>
            </w:tcBorders>
            <w:vAlign w:val="center"/>
          </w:tcPr>
          <w:p>
            <w:pPr>
              <w:jc w:val="center"/>
              <w:rPr>
                <w:rFonts w:ascii="Times New Roman" w:hAnsi="Times New Roman" w:cs="Times New Roman"/>
                <w:b/>
                <w:color w:val="auto"/>
                <w:szCs w:val="21"/>
                <w:highlight w:val="none"/>
              </w:rPr>
            </w:pPr>
            <w:r>
              <w:rPr>
                <w:rFonts w:ascii="Times New Roman" w:hAnsi="Times New Roman" w:cs="Times New Roman"/>
                <w:b/>
                <w:color w:val="auto"/>
                <w:szCs w:val="21"/>
                <w:highlight w:val="none"/>
              </w:rPr>
              <w:t>实际建设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75"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生活废水</w:t>
            </w:r>
          </w:p>
        </w:tc>
        <w:tc>
          <w:tcPr>
            <w:tcW w:w="1365"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化学需氧量、氨氮</w:t>
            </w:r>
          </w:p>
        </w:tc>
        <w:tc>
          <w:tcPr>
            <w:tcW w:w="1080" w:type="dxa"/>
            <w:tcBorders>
              <w:tl2br w:val="nil"/>
              <w:tr2bl w:val="nil"/>
            </w:tcBorders>
            <w:vAlign w:val="center"/>
          </w:tcPr>
          <w:p>
            <w:pPr>
              <w:jc w:val="center"/>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276</w:t>
            </w:r>
          </w:p>
        </w:tc>
        <w:tc>
          <w:tcPr>
            <w:tcW w:w="2700" w:type="dxa"/>
            <w:tcBorders>
              <w:tl2br w:val="nil"/>
              <w:tr2bl w:val="nil"/>
            </w:tcBorders>
            <w:vAlign w:val="center"/>
          </w:tcPr>
          <w:p>
            <w:pPr>
              <w:pStyle w:val="54"/>
              <w:spacing w:line="240" w:lineRule="auto"/>
              <w:ind w:firstLine="420"/>
              <w:jc w:val="both"/>
              <w:rPr>
                <w:rFonts w:hint="eastAsia" w:ascii="Times New Roman" w:hAnsi="Times New Roman" w:cs="Times New Roman" w:eastAsiaTheme="minorEastAsia"/>
                <w:color w:val="auto"/>
                <w:sz w:val="21"/>
                <w:szCs w:val="21"/>
                <w:highlight w:val="none"/>
                <w:lang w:eastAsia="zh-CN"/>
              </w:rPr>
            </w:pPr>
            <w:r>
              <w:rPr>
                <w:rFonts w:hint="eastAsia" w:ascii="Times New Roman" w:hAnsi="Times New Roman" w:cs="Times New Roman"/>
                <w:color w:val="auto"/>
                <w:sz w:val="21"/>
                <w:szCs w:val="21"/>
                <w:highlight w:val="none"/>
                <w:lang w:eastAsia="zh-CN"/>
              </w:rPr>
              <w:t>经化粪池处理</w:t>
            </w:r>
            <w:r>
              <w:rPr>
                <w:rFonts w:hint="default" w:ascii="Times New Roman" w:hAnsi="Times New Roman" w:cs="Times New Roman" w:eastAsiaTheme="minorEastAsia"/>
                <w:color w:val="auto"/>
                <w:kern w:val="2"/>
                <w:sz w:val="21"/>
                <w:szCs w:val="21"/>
                <w:highlight w:val="none"/>
                <w:lang w:val="en-US" w:eastAsia="zh-CN" w:bidi="ar-SA"/>
              </w:rPr>
              <w:t>达到标准后</w:t>
            </w:r>
            <w:r>
              <w:rPr>
                <w:rFonts w:hint="eastAsia" w:ascii="Times New Roman" w:hAnsi="Times New Roman" w:cs="Times New Roman"/>
                <w:color w:val="auto"/>
                <w:kern w:val="2"/>
                <w:sz w:val="21"/>
                <w:szCs w:val="21"/>
                <w:highlight w:val="none"/>
                <w:lang w:val="en-US" w:eastAsia="zh-CN" w:bidi="ar-SA"/>
              </w:rPr>
              <w:t>纳</w:t>
            </w:r>
            <w:r>
              <w:rPr>
                <w:rFonts w:hint="default" w:ascii="Times New Roman" w:hAnsi="Times New Roman" w:cs="Times New Roman" w:eastAsiaTheme="minorEastAsia"/>
                <w:color w:val="auto"/>
                <w:kern w:val="2"/>
                <w:sz w:val="21"/>
                <w:szCs w:val="21"/>
                <w:highlight w:val="none"/>
                <w:lang w:val="en-US" w:eastAsia="zh-CN" w:bidi="ar-SA"/>
              </w:rPr>
              <w:t>入市政污水管网</w:t>
            </w:r>
            <w:r>
              <w:rPr>
                <w:rFonts w:hint="eastAsia" w:ascii="Times New Roman" w:hAnsi="Times New Roman" w:cs="Times New Roman"/>
                <w:color w:val="auto"/>
                <w:kern w:val="2"/>
                <w:sz w:val="21"/>
                <w:szCs w:val="21"/>
                <w:highlight w:val="none"/>
                <w:lang w:val="en-US" w:eastAsia="zh-CN" w:bidi="ar-SA"/>
              </w:rPr>
              <w:t>。</w:t>
            </w:r>
          </w:p>
        </w:tc>
        <w:tc>
          <w:tcPr>
            <w:tcW w:w="1302" w:type="dxa"/>
            <w:tcBorders>
              <w:tl2br w:val="nil"/>
              <w:tr2bl w:val="nil"/>
            </w:tcBorders>
            <w:vAlign w:val="center"/>
          </w:tcPr>
          <w:p>
            <w:pPr>
              <w:jc w:val="center"/>
              <w:rPr>
                <w:rFonts w:hint="eastAsia" w:ascii="Times New Roman" w:hAnsi="Times New Roman" w:cs="Times New Roman"/>
                <w:color w:val="auto"/>
                <w:szCs w:val="21"/>
                <w:highlight w:val="none"/>
                <w:lang w:eastAsia="zh-CN"/>
              </w:rPr>
            </w:pPr>
            <w:r>
              <w:rPr>
                <w:rFonts w:hint="eastAsia" w:ascii="Times New Roman" w:hAnsi="Times New Roman" w:cs="Times New Roman"/>
                <w:color w:val="auto"/>
                <w:szCs w:val="21"/>
                <w:highlight w:val="none"/>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75" w:type="dxa"/>
            <w:tcBorders>
              <w:tl2br w:val="nil"/>
              <w:tr2bl w:val="nil"/>
            </w:tcBorders>
            <w:vAlign w:val="center"/>
          </w:tcPr>
          <w:p>
            <w:pPr>
              <w:jc w:val="center"/>
              <w:rPr>
                <w:rFonts w:ascii="Times New Roman" w:hAnsi="Times New Roman" w:cs="Times New Roman"/>
                <w:color w:val="auto"/>
                <w:szCs w:val="21"/>
                <w:highlight w:val="none"/>
              </w:rPr>
            </w:pPr>
            <w:r>
              <w:rPr>
                <w:rFonts w:hint="default" w:ascii="Times New Roman" w:hAnsi="Times New Roman" w:cs="Times New Roman"/>
                <w:color w:val="auto"/>
                <w:szCs w:val="21"/>
                <w:highlight w:val="none"/>
                <w:lang w:eastAsia="zh-CN"/>
              </w:rPr>
              <w:t>拆解预处理</w:t>
            </w:r>
            <w:r>
              <w:rPr>
                <w:rFonts w:hint="eastAsia" w:ascii="Times New Roman" w:hAnsi="Times New Roman" w:cs="Times New Roman"/>
                <w:color w:val="auto"/>
                <w:szCs w:val="21"/>
                <w:highlight w:val="none"/>
                <w:lang w:eastAsia="zh-CN"/>
              </w:rPr>
              <w:t>废水、</w:t>
            </w:r>
            <w:r>
              <w:rPr>
                <w:rFonts w:hint="default" w:ascii="Times New Roman" w:hAnsi="Times New Roman" w:cs="Times New Roman"/>
                <w:color w:val="auto"/>
                <w:szCs w:val="21"/>
                <w:highlight w:val="none"/>
                <w:lang w:eastAsia="zh-CN"/>
              </w:rPr>
              <w:t>拆解区地面冲洗</w:t>
            </w:r>
            <w:r>
              <w:rPr>
                <w:rFonts w:hint="eastAsia" w:ascii="Times New Roman" w:hAnsi="Times New Roman" w:cs="Times New Roman"/>
                <w:color w:val="auto"/>
                <w:szCs w:val="21"/>
                <w:highlight w:val="none"/>
                <w:lang w:eastAsia="zh-CN"/>
              </w:rPr>
              <w:t>废水</w:t>
            </w:r>
          </w:p>
        </w:tc>
        <w:tc>
          <w:tcPr>
            <w:tcW w:w="1365" w:type="dxa"/>
            <w:tcBorders>
              <w:tl2br w:val="nil"/>
              <w:tr2bl w:val="nil"/>
            </w:tcBorders>
            <w:vAlign w:val="center"/>
          </w:tcPr>
          <w:p>
            <w:pPr>
              <w:jc w:val="center"/>
              <w:rPr>
                <w:rFonts w:hint="eastAsia" w:ascii="Times New Roman" w:hAnsi="Times New Roman" w:cs="Times New Roman" w:eastAsiaTheme="minorEastAsia"/>
                <w:color w:val="auto"/>
                <w:szCs w:val="21"/>
                <w:highlight w:val="none"/>
                <w:lang w:eastAsia="zh-CN"/>
              </w:rPr>
            </w:pPr>
            <w:r>
              <w:rPr>
                <w:rFonts w:ascii="Times New Roman" w:hAnsi="Times New Roman" w:cs="Times New Roman"/>
                <w:color w:val="auto"/>
                <w:szCs w:val="21"/>
                <w:highlight w:val="none"/>
              </w:rPr>
              <w:t>化学需氧量、</w:t>
            </w:r>
            <w:r>
              <w:rPr>
                <w:rFonts w:hint="eastAsia" w:ascii="Times New Roman" w:hAnsi="Times New Roman" w:cs="Times New Roman"/>
                <w:color w:val="auto"/>
                <w:szCs w:val="21"/>
                <w:highlight w:val="none"/>
                <w:lang w:eastAsia="zh-CN"/>
              </w:rPr>
              <w:t>石油类</w:t>
            </w:r>
          </w:p>
        </w:tc>
        <w:tc>
          <w:tcPr>
            <w:tcW w:w="1080" w:type="dxa"/>
            <w:tcBorders>
              <w:tl2br w:val="nil"/>
              <w:tr2bl w:val="nil"/>
            </w:tcBorders>
            <w:vAlign w:val="center"/>
          </w:tcPr>
          <w:p>
            <w:pPr>
              <w:jc w:val="center"/>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816</w:t>
            </w:r>
          </w:p>
        </w:tc>
        <w:tc>
          <w:tcPr>
            <w:tcW w:w="2700" w:type="dxa"/>
            <w:tcBorders>
              <w:tl2br w:val="nil"/>
              <w:tr2bl w:val="nil"/>
            </w:tcBorders>
            <w:vAlign w:val="center"/>
          </w:tcPr>
          <w:p>
            <w:pPr>
              <w:pStyle w:val="54"/>
              <w:spacing w:line="240" w:lineRule="auto"/>
              <w:ind w:firstLine="420"/>
              <w:jc w:val="both"/>
              <w:rPr>
                <w:rFonts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经隔油沉淀处理达到标准后</w:t>
            </w:r>
            <w:r>
              <w:rPr>
                <w:rFonts w:hint="eastAsia" w:ascii="Times New Roman" w:hAnsi="Times New Roman" w:cs="Times New Roman"/>
                <w:color w:val="auto"/>
                <w:kern w:val="2"/>
                <w:sz w:val="21"/>
                <w:szCs w:val="21"/>
                <w:highlight w:val="none"/>
                <w:lang w:val="en-US" w:eastAsia="zh-CN" w:bidi="ar-SA"/>
              </w:rPr>
              <w:t>纳</w:t>
            </w:r>
            <w:r>
              <w:rPr>
                <w:rFonts w:hint="default" w:ascii="Times New Roman" w:hAnsi="Times New Roman" w:cs="Times New Roman" w:eastAsiaTheme="minorEastAsia"/>
                <w:color w:val="auto"/>
                <w:kern w:val="2"/>
                <w:sz w:val="21"/>
                <w:szCs w:val="21"/>
                <w:highlight w:val="none"/>
                <w:lang w:val="en-US" w:eastAsia="zh-CN" w:bidi="ar-SA"/>
              </w:rPr>
              <w:t>入市政污水管网</w:t>
            </w:r>
            <w:r>
              <w:rPr>
                <w:rFonts w:hint="eastAsia" w:ascii="Times New Roman" w:hAnsi="Times New Roman" w:cs="Times New Roman"/>
                <w:color w:val="auto"/>
                <w:kern w:val="2"/>
                <w:sz w:val="21"/>
                <w:szCs w:val="21"/>
                <w:highlight w:val="none"/>
                <w:lang w:val="en-US" w:eastAsia="zh-CN" w:bidi="ar-SA"/>
              </w:rPr>
              <w:t>。</w:t>
            </w:r>
          </w:p>
        </w:tc>
        <w:tc>
          <w:tcPr>
            <w:tcW w:w="1302" w:type="dxa"/>
            <w:tcBorders>
              <w:tl2br w:val="nil"/>
              <w:tr2bl w:val="nil"/>
            </w:tcBorders>
            <w:vAlign w:val="center"/>
          </w:tcPr>
          <w:p>
            <w:pPr>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与环评一致</w:t>
            </w:r>
          </w:p>
        </w:tc>
      </w:tr>
    </w:tbl>
    <w:p>
      <w:pPr>
        <w:spacing w:line="360" w:lineRule="auto"/>
        <w:rPr>
          <w:rFonts w:ascii="Times New Roman" w:hAnsi="Times New Roman" w:cs="Times New Roman"/>
          <w:b/>
          <w:color w:val="auto"/>
          <w:sz w:val="24"/>
          <w:szCs w:val="24"/>
          <w:highlight w:val="none"/>
        </w:rPr>
      </w:pPr>
      <w:r>
        <w:rPr>
          <w:rFonts w:ascii="Times New Roman" w:hAnsi="Times New Roman" w:cs="Times New Roman"/>
          <w:b/>
          <w:color w:val="auto"/>
          <w:sz w:val="24"/>
          <w:szCs w:val="24"/>
          <w:highlight w:val="none"/>
        </w:rPr>
        <w:t>4.1.2废气</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根据现场调查，</w:t>
      </w:r>
      <w:r>
        <w:rPr>
          <w:rFonts w:hint="eastAsia" w:ascii="Times New Roman" w:hAnsi="Times New Roman" w:cs="Times New Roman"/>
          <w:color w:val="auto"/>
          <w:sz w:val="24"/>
          <w:szCs w:val="24"/>
          <w:highlight w:val="none"/>
        </w:rPr>
        <w:t>现阶段</w:t>
      </w:r>
      <w:r>
        <w:rPr>
          <w:rFonts w:ascii="Times New Roman" w:hAnsi="Times New Roman" w:cs="Times New Roman"/>
          <w:color w:val="auto"/>
          <w:sz w:val="24"/>
          <w:szCs w:val="24"/>
          <w:highlight w:val="none"/>
        </w:rPr>
        <w:t>产生的废气主要为</w:t>
      </w:r>
      <w:r>
        <w:rPr>
          <w:rFonts w:hint="default" w:ascii="Times New Roman" w:hAnsi="Times New Roman" w:cs="Times New Roman"/>
          <w:color w:val="auto"/>
          <w:sz w:val="24"/>
          <w:szCs w:val="24"/>
          <w:highlight w:val="none"/>
        </w:rPr>
        <w:t>废油液挥发有机废气</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制冷剂挥发有机废气</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切割废气</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安全气囊引爆粉尘</w:t>
      </w:r>
      <w:r>
        <w:rPr>
          <w:rFonts w:ascii="Times New Roman" w:hAnsi="Times New Roman" w:cs="Times New Roman"/>
          <w:color w:val="auto"/>
          <w:sz w:val="24"/>
          <w:szCs w:val="24"/>
          <w:highlight w:val="none"/>
        </w:rPr>
        <w:t>。项目废气排放及环保设施见表4-2。</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bCs/>
          <w:color w:val="auto"/>
          <w:sz w:val="24"/>
          <w:szCs w:val="24"/>
          <w:highlight w:val="none"/>
        </w:rPr>
      </w:pPr>
      <w:r>
        <w:rPr>
          <w:rFonts w:ascii="Times New Roman" w:hAnsi="Times New Roman" w:cs="Times New Roman"/>
          <w:b/>
          <w:bCs/>
          <w:color w:val="auto"/>
          <w:sz w:val="24"/>
          <w:szCs w:val="24"/>
          <w:highlight w:val="none"/>
        </w:rPr>
        <w:t>表4-2  废气排放及防治措施</w:t>
      </w:r>
    </w:p>
    <w:tbl>
      <w:tblPr>
        <w:tblStyle w:val="23"/>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0"/>
        <w:gridCol w:w="1380"/>
        <w:gridCol w:w="967"/>
        <w:gridCol w:w="3176"/>
        <w:gridCol w:w="16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300" w:type="dxa"/>
            <w:vMerge w:val="restart"/>
            <w:tcBorders>
              <w:tl2br w:val="nil"/>
              <w:tr2bl w:val="nil"/>
            </w:tcBorders>
            <w:vAlign w:val="center"/>
          </w:tcPr>
          <w:p>
            <w:pPr>
              <w:jc w:val="center"/>
              <w:rPr>
                <w:rFonts w:ascii="Times New Roman" w:hAnsi="Times New Roman" w:cs="Times New Roman"/>
                <w:b/>
                <w:color w:val="auto"/>
                <w:szCs w:val="21"/>
                <w:highlight w:val="none"/>
              </w:rPr>
            </w:pPr>
            <w:r>
              <w:rPr>
                <w:rFonts w:ascii="Times New Roman" w:hAnsi="Times New Roman" w:cs="Times New Roman"/>
                <w:b/>
                <w:color w:val="auto"/>
                <w:szCs w:val="21"/>
                <w:highlight w:val="none"/>
              </w:rPr>
              <w:t>污染源名称</w:t>
            </w:r>
          </w:p>
        </w:tc>
        <w:tc>
          <w:tcPr>
            <w:tcW w:w="1380" w:type="dxa"/>
            <w:vMerge w:val="restart"/>
            <w:tcBorders>
              <w:tl2br w:val="nil"/>
              <w:tr2bl w:val="nil"/>
            </w:tcBorders>
            <w:vAlign w:val="center"/>
          </w:tcPr>
          <w:p>
            <w:pPr>
              <w:jc w:val="center"/>
              <w:rPr>
                <w:rFonts w:ascii="Times New Roman" w:hAnsi="Times New Roman" w:cs="Times New Roman"/>
                <w:b/>
                <w:color w:val="auto"/>
                <w:szCs w:val="21"/>
                <w:highlight w:val="none"/>
              </w:rPr>
            </w:pPr>
            <w:r>
              <w:rPr>
                <w:rFonts w:ascii="Times New Roman" w:hAnsi="Times New Roman" w:cs="Times New Roman"/>
                <w:b/>
                <w:color w:val="auto"/>
                <w:szCs w:val="21"/>
                <w:highlight w:val="none"/>
              </w:rPr>
              <w:t>污染物名称</w:t>
            </w:r>
          </w:p>
        </w:tc>
        <w:tc>
          <w:tcPr>
            <w:tcW w:w="967" w:type="dxa"/>
            <w:vMerge w:val="restart"/>
            <w:tcBorders>
              <w:tl2br w:val="nil"/>
              <w:tr2bl w:val="nil"/>
            </w:tcBorders>
            <w:vAlign w:val="center"/>
          </w:tcPr>
          <w:p>
            <w:pPr>
              <w:jc w:val="center"/>
              <w:rPr>
                <w:rFonts w:ascii="Times New Roman" w:hAnsi="Times New Roman" w:cs="Times New Roman"/>
                <w:b/>
                <w:color w:val="auto"/>
                <w:szCs w:val="21"/>
                <w:highlight w:val="none"/>
              </w:rPr>
            </w:pPr>
            <w:r>
              <w:rPr>
                <w:rFonts w:ascii="Times New Roman" w:hAnsi="Times New Roman" w:cs="Times New Roman"/>
                <w:b/>
                <w:color w:val="auto"/>
                <w:szCs w:val="21"/>
                <w:highlight w:val="none"/>
              </w:rPr>
              <w:t>排放</w:t>
            </w:r>
          </w:p>
          <w:p>
            <w:pPr>
              <w:jc w:val="center"/>
              <w:rPr>
                <w:rFonts w:ascii="Times New Roman" w:hAnsi="Times New Roman" w:cs="Times New Roman"/>
                <w:b/>
                <w:color w:val="auto"/>
                <w:szCs w:val="21"/>
                <w:highlight w:val="none"/>
              </w:rPr>
            </w:pPr>
            <w:r>
              <w:rPr>
                <w:rFonts w:ascii="Times New Roman" w:hAnsi="Times New Roman" w:cs="Times New Roman"/>
                <w:b/>
                <w:color w:val="auto"/>
                <w:szCs w:val="21"/>
                <w:highlight w:val="none"/>
              </w:rPr>
              <w:t>规律</w:t>
            </w:r>
          </w:p>
        </w:tc>
        <w:tc>
          <w:tcPr>
            <w:tcW w:w="4875" w:type="dxa"/>
            <w:gridSpan w:val="2"/>
            <w:tcBorders>
              <w:tl2br w:val="nil"/>
              <w:tr2bl w:val="nil"/>
            </w:tcBorders>
            <w:vAlign w:val="center"/>
          </w:tcPr>
          <w:p>
            <w:pPr>
              <w:ind w:firstLine="420"/>
              <w:jc w:val="center"/>
              <w:rPr>
                <w:rFonts w:ascii="Times New Roman" w:hAnsi="Times New Roman" w:cs="Times New Roman"/>
                <w:b/>
                <w:color w:val="auto"/>
                <w:szCs w:val="21"/>
                <w:highlight w:val="none"/>
              </w:rPr>
            </w:pPr>
            <w:r>
              <w:rPr>
                <w:rFonts w:ascii="Times New Roman" w:hAnsi="Times New Roman" w:cs="Times New Roman"/>
                <w:b/>
                <w:color w:val="auto"/>
                <w:szCs w:val="21"/>
                <w:highlight w:val="none"/>
              </w:rPr>
              <w:t>处理设施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300" w:type="dxa"/>
            <w:vMerge w:val="continue"/>
            <w:tcBorders>
              <w:tl2br w:val="nil"/>
              <w:tr2bl w:val="nil"/>
            </w:tcBorders>
            <w:vAlign w:val="center"/>
          </w:tcPr>
          <w:p>
            <w:pPr>
              <w:jc w:val="center"/>
              <w:rPr>
                <w:rFonts w:ascii="Times New Roman" w:hAnsi="Times New Roman" w:cs="Times New Roman"/>
                <w:b/>
                <w:color w:val="auto"/>
                <w:szCs w:val="21"/>
                <w:highlight w:val="none"/>
              </w:rPr>
            </w:pPr>
          </w:p>
        </w:tc>
        <w:tc>
          <w:tcPr>
            <w:tcW w:w="1380" w:type="dxa"/>
            <w:vMerge w:val="continue"/>
            <w:tcBorders>
              <w:tl2br w:val="nil"/>
              <w:tr2bl w:val="nil"/>
            </w:tcBorders>
            <w:vAlign w:val="center"/>
          </w:tcPr>
          <w:p>
            <w:pPr>
              <w:jc w:val="center"/>
              <w:rPr>
                <w:rFonts w:ascii="Times New Roman" w:hAnsi="Times New Roman" w:cs="Times New Roman"/>
                <w:b/>
                <w:color w:val="auto"/>
                <w:szCs w:val="21"/>
                <w:highlight w:val="none"/>
              </w:rPr>
            </w:pPr>
          </w:p>
        </w:tc>
        <w:tc>
          <w:tcPr>
            <w:tcW w:w="967" w:type="dxa"/>
            <w:vMerge w:val="continue"/>
            <w:tcBorders>
              <w:tl2br w:val="nil"/>
              <w:tr2bl w:val="nil"/>
            </w:tcBorders>
            <w:vAlign w:val="center"/>
          </w:tcPr>
          <w:p>
            <w:pPr>
              <w:autoSpaceDE w:val="0"/>
              <w:autoSpaceDN w:val="0"/>
              <w:adjustRightInd w:val="0"/>
              <w:jc w:val="center"/>
              <w:rPr>
                <w:rFonts w:ascii="Times New Roman" w:hAnsi="Times New Roman" w:cs="Times New Roman"/>
                <w:b/>
                <w:color w:val="auto"/>
                <w:szCs w:val="21"/>
                <w:highlight w:val="none"/>
              </w:rPr>
            </w:pPr>
          </w:p>
        </w:tc>
        <w:tc>
          <w:tcPr>
            <w:tcW w:w="3176" w:type="dxa"/>
            <w:tcBorders>
              <w:tl2br w:val="nil"/>
              <w:tr2bl w:val="nil"/>
            </w:tcBorders>
            <w:vAlign w:val="center"/>
          </w:tcPr>
          <w:p>
            <w:pPr>
              <w:jc w:val="center"/>
              <w:rPr>
                <w:rFonts w:ascii="Times New Roman" w:hAnsi="Times New Roman" w:cs="Times New Roman"/>
                <w:b/>
                <w:color w:val="auto"/>
                <w:szCs w:val="21"/>
                <w:highlight w:val="none"/>
              </w:rPr>
            </w:pPr>
            <w:r>
              <w:rPr>
                <w:rFonts w:ascii="Times New Roman" w:hAnsi="Times New Roman" w:cs="Times New Roman"/>
                <w:b/>
                <w:color w:val="auto"/>
                <w:szCs w:val="21"/>
                <w:highlight w:val="none"/>
              </w:rPr>
              <w:t>环评要求</w:t>
            </w:r>
          </w:p>
        </w:tc>
        <w:tc>
          <w:tcPr>
            <w:tcW w:w="1699" w:type="dxa"/>
            <w:tcBorders>
              <w:tl2br w:val="nil"/>
              <w:tr2bl w:val="nil"/>
            </w:tcBorders>
            <w:vAlign w:val="center"/>
          </w:tcPr>
          <w:p>
            <w:pPr>
              <w:jc w:val="center"/>
              <w:rPr>
                <w:rFonts w:ascii="Times New Roman" w:hAnsi="Times New Roman" w:cs="Times New Roman"/>
                <w:b/>
                <w:color w:val="auto"/>
                <w:szCs w:val="21"/>
                <w:highlight w:val="none"/>
              </w:rPr>
            </w:pPr>
            <w:r>
              <w:rPr>
                <w:rFonts w:ascii="Times New Roman" w:hAnsi="Times New Roman" w:cs="Times New Roman"/>
                <w:b/>
                <w:color w:val="auto"/>
                <w:szCs w:val="21"/>
                <w:highlight w:val="none"/>
              </w:rPr>
              <w:t>实际建设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0" w:type="dxa"/>
            <w:tcBorders>
              <w:tl2br w:val="nil"/>
              <w:tr2bl w:val="nil"/>
            </w:tcBorders>
            <w:vAlign w:val="center"/>
          </w:tcPr>
          <w:p>
            <w:pPr>
              <w:jc w:val="center"/>
              <w:rPr>
                <w:rFonts w:ascii="Times New Roman" w:hAnsi="Times New Roman" w:cs="Times New Roman"/>
                <w:color w:val="auto"/>
                <w:szCs w:val="21"/>
                <w:highlight w:val="none"/>
              </w:rPr>
            </w:pPr>
            <w:r>
              <w:rPr>
                <w:rFonts w:hint="default" w:ascii="Times New Roman" w:hAnsi="Times New Roman" w:cs="Times New Roman"/>
                <w:color w:val="auto"/>
                <w:szCs w:val="21"/>
                <w:highlight w:val="none"/>
              </w:rPr>
              <w:t>废油液挥发有机废气</w:t>
            </w:r>
          </w:p>
        </w:tc>
        <w:tc>
          <w:tcPr>
            <w:tcW w:w="1380" w:type="dxa"/>
            <w:tcBorders>
              <w:tl2br w:val="nil"/>
              <w:tr2bl w:val="nil"/>
            </w:tcBorders>
            <w:vAlign w:val="center"/>
          </w:tcPr>
          <w:p>
            <w:pPr>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cs="Times New Roman"/>
                <w:color w:val="auto"/>
                <w:szCs w:val="21"/>
                <w:highlight w:val="none"/>
                <w:lang w:eastAsia="zh-CN"/>
              </w:rPr>
              <w:t>非甲烷总烃</w:t>
            </w:r>
          </w:p>
        </w:tc>
        <w:tc>
          <w:tcPr>
            <w:tcW w:w="967"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连续</w:t>
            </w:r>
          </w:p>
        </w:tc>
        <w:tc>
          <w:tcPr>
            <w:tcW w:w="31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加强车间通风</w:t>
            </w:r>
          </w:p>
        </w:tc>
        <w:tc>
          <w:tcPr>
            <w:tcW w:w="16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废油液回收废气经收集、活性炭吸附后通过15米排气筒排放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0" w:type="dxa"/>
            <w:tcBorders>
              <w:tl2br w:val="nil"/>
              <w:tr2bl w:val="nil"/>
            </w:tcBorders>
            <w:vAlign w:val="center"/>
          </w:tcPr>
          <w:p>
            <w:pPr>
              <w:jc w:val="center"/>
              <w:rPr>
                <w:rFonts w:ascii="Times New Roman" w:hAnsi="Times New Roman" w:cs="Times New Roman"/>
                <w:color w:val="auto"/>
                <w:szCs w:val="21"/>
                <w:highlight w:val="none"/>
              </w:rPr>
            </w:pPr>
            <w:r>
              <w:rPr>
                <w:rFonts w:hint="default" w:ascii="Times New Roman" w:hAnsi="Times New Roman" w:cs="Times New Roman"/>
                <w:color w:val="auto"/>
                <w:szCs w:val="21"/>
                <w:highlight w:val="none"/>
              </w:rPr>
              <w:t>制冷剂挥发有机废气</w:t>
            </w:r>
          </w:p>
        </w:tc>
        <w:tc>
          <w:tcPr>
            <w:tcW w:w="1380" w:type="dxa"/>
            <w:tcBorders>
              <w:tl2br w:val="nil"/>
              <w:tr2bl w:val="nil"/>
            </w:tcBorders>
            <w:vAlign w:val="center"/>
          </w:tcPr>
          <w:p>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非甲烷总烃</w:t>
            </w:r>
          </w:p>
        </w:tc>
        <w:tc>
          <w:tcPr>
            <w:tcW w:w="967"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连续</w:t>
            </w:r>
          </w:p>
        </w:tc>
        <w:tc>
          <w:tcPr>
            <w:tcW w:w="31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cs="Times New Roman"/>
                <w:color w:val="auto"/>
                <w:szCs w:val="21"/>
                <w:highlight w:val="none"/>
              </w:rPr>
            </w:pPr>
            <w:r>
              <w:rPr>
                <w:rFonts w:hint="default" w:ascii="Times New Roman" w:hAnsi="Times New Roman" w:eastAsia="宋体" w:cs="Times New Roman"/>
                <w:color w:val="auto"/>
                <w:highlight w:val="none"/>
              </w:rPr>
              <w:t>采用密闭式制冷剂回收装置对制冷剂进行回收，并收集在密闭容器中</w:t>
            </w:r>
          </w:p>
        </w:tc>
        <w:tc>
          <w:tcPr>
            <w:tcW w:w="1699" w:type="dxa"/>
            <w:tcBorders>
              <w:tl2br w:val="nil"/>
              <w:tr2bl w:val="nil"/>
            </w:tcBorders>
            <w:vAlign w:val="center"/>
          </w:tcPr>
          <w:p>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0" w:type="dxa"/>
            <w:tcBorders>
              <w:tl2br w:val="nil"/>
              <w:tr2bl w:val="nil"/>
            </w:tcBorders>
            <w:vAlign w:val="center"/>
          </w:tcPr>
          <w:p>
            <w:pPr>
              <w:jc w:val="center"/>
              <w:rPr>
                <w:rFonts w:ascii="Times New Roman" w:hAnsi="Times New Roman" w:cs="Times New Roman"/>
                <w:color w:val="auto"/>
                <w:szCs w:val="21"/>
                <w:highlight w:val="none"/>
              </w:rPr>
            </w:pPr>
            <w:r>
              <w:rPr>
                <w:rFonts w:hint="default" w:ascii="Times New Roman" w:hAnsi="Times New Roman" w:cs="Times New Roman"/>
                <w:color w:val="auto"/>
                <w:szCs w:val="21"/>
                <w:highlight w:val="none"/>
              </w:rPr>
              <w:t>切割废气</w:t>
            </w:r>
          </w:p>
        </w:tc>
        <w:tc>
          <w:tcPr>
            <w:tcW w:w="1380" w:type="dxa"/>
            <w:tcBorders>
              <w:tl2br w:val="nil"/>
              <w:tr2bl w:val="nil"/>
            </w:tcBorders>
            <w:vAlign w:val="center"/>
          </w:tcPr>
          <w:p>
            <w:pPr>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cs="Times New Roman"/>
                <w:color w:val="auto"/>
                <w:szCs w:val="21"/>
                <w:highlight w:val="none"/>
                <w:lang w:eastAsia="zh-CN"/>
              </w:rPr>
              <w:t>颗粒物</w:t>
            </w:r>
          </w:p>
        </w:tc>
        <w:tc>
          <w:tcPr>
            <w:tcW w:w="967"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连续</w:t>
            </w:r>
          </w:p>
        </w:tc>
        <w:tc>
          <w:tcPr>
            <w:tcW w:w="31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cs="Times New Roman"/>
                <w:color w:val="auto"/>
                <w:szCs w:val="21"/>
                <w:highlight w:val="none"/>
              </w:rPr>
            </w:pPr>
            <w:r>
              <w:rPr>
                <w:rFonts w:hint="default" w:ascii="Times New Roman" w:hAnsi="Times New Roman" w:eastAsia="宋体" w:cs="Times New Roman"/>
                <w:color w:val="auto"/>
                <w:sz w:val="21"/>
                <w:szCs w:val="21"/>
                <w:highlight w:val="none"/>
                <w:vertAlign w:val="baseline"/>
                <w:lang w:eastAsia="zh-CN"/>
              </w:rPr>
              <w:t>采用移动式烟尘净化器处理后在车间内循环排放</w:t>
            </w:r>
          </w:p>
        </w:tc>
        <w:tc>
          <w:tcPr>
            <w:tcW w:w="1699" w:type="dxa"/>
            <w:tcBorders>
              <w:tl2br w:val="nil"/>
              <w:tr2bl w:val="nil"/>
            </w:tcBorders>
            <w:vAlign w:val="center"/>
          </w:tcPr>
          <w:p>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0" w:type="dxa"/>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安全气囊引爆粉尘</w:t>
            </w:r>
          </w:p>
        </w:tc>
        <w:tc>
          <w:tcPr>
            <w:tcW w:w="1380" w:type="dxa"/>
            <w:tcBorders>
              <w:tl2br w:val="nil"/>
              <w:tr2bl w:val="nil"/>
            </w:tcBorders>
            <w:vAlign w:val="center"/>
          </w:tcPr>
          <w:p>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颗粒物</w:t>
            </w:r>
          </w:p>
        </w:tc>
        <w:tc>
          <w:tcPr>
            <w:tcW w:w="967"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连续</w:t>
            </w:r>
          </w:p>
        </w:tc>
        <w:tc>
          <w:tcPr>
            <w:tcW w:w="31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cs="Times New Roman"/>
                <w:color w:val="auto"/>
                <w:szCs w:val="21"/>
                <w:highlight w:val="none"/>
              </w:rPr>
            </w:pPr>
            <w:r>
              <w:rPr>
                <w:rFonts w:hint="default" w:ascii="Times New Roman" w:hAnsi="Times New Roman" w:eastAsia="宋体" w:cs="Times New Roman"/>
                <w:color w:val="auto"/>
                <w:sz w:val="21"/>
                <w:szCs w:val="21"/>
                <w:highlight w:val="none"/>
                <w:vertAlign w:val="baseline"/>
                <w:lang w:eastAsia="zh-CN"/>
              </w:rPr>
              <w:t>用密闭式引爆装置收集，不排放</w:t>
            </w:r>
          </w:p>
        </w:tc>
        <w:tc>
          <w:tcPr>
            <w:tcW w:w="1699" w:type="dxa"/>
            <w:tcBorders>
              <w:tl2br w:val="nil"/>
              <w:tr2bl w:val="nil"/>
            </w:tcBorders>
            <w:vAlign w:val="center"/>
          </w:tcPr>
          <w:p>
            <w:pPr>
              <w:jc w:val="center"/>
              <w:rPr>
                <w:rFonts w:hint="eastAsia" w:ascii="Times New Roman" w:hAnsi="Times New Roman" w:cs="Times New Roman"/>
                <w:color w:val="auto"/>
                <w:szCs w:val="21"/>
                <w:highlight w:val="none"/>
              </w:rPr>
            </w:pPr>
            <w:r>
              <w:rPr>
                <w:rFonts w:hint="eastAsia" w:ascii="Times New Roman" w:hAnsi="Times New Roman" w:cs="Times New Roman"/>
                <w:color w:val="auto"/>
                <w:szCs w:val="21"/>
                <w:highlight w:val="none"/>
              </w:rPr>
              <w:t>与环评一致</w:t>
            </w:r>
          </w:p>
        </w:tc>
      </w:tr>
    </w:tbl>
    <w:p>
      <w:pPr>
        <w:spacing w:line="360" w:lineRule="auto"/>
        <w:rPr>
          <w:rFonts w:ascii="Times New Roman" w:hAnsi="Times New Roman" w:cs="Times New Roman"/>
          <w:b/>
          <w:color w:val="auto"/>
          <w:sz w:val="24"/>
          <w:szCs w:val="24"/>
          <w:highlight w:val="none"/>
        </w:rPr>
      </w:pPr>
      <w:r>
        <w:rPr>
          <w:rFonts w:ascii="Times New Roman" w:hAnsi="Times New Roman" w:cs="Times New Roman"/>
          <w:b/>
          <w:color w:val="auto"/>
          <w:sz w:val="24"/>
          <w:szCs w:val="24"/>
          <w:highlight w:val="none"/>
        </w:rPr>
        <w:t>4.1.3噪声</w:t>
      </w:r>
    </w:p>
    <w:p>
      <w:pPr>
        <w:spacing w:line="360" w:lineRule="auto"/>
        <w:ind w:firstLine="480" w:firstLineChars="200"/>
        <w:rPr>
          <w:rFonts w:ascii="Times New Roman" w:hAnsi="Times New Roman" w:cs="Times New Roman"/>
          <w:b/>
          <w:bCs/>
          <w:color w:val="auto"/>
          <w:sz w:val="24"/>
          <w:szCs w:val="24"/>
          <w:highlight w:val="none"/>
        </w:rPr>
      </w:pPr>
      <w:r>
        <w:rPr>
          <w:rFonts w:ascii="Times New Roman" w:hAnsi="Times New Roman" w:cs="Times New Roman"/>
          <w:color w:val="auto"/>
          <w:sz w:val="24"/>
          <w:szCs w:val="24"/>
          <w:highlight w:val="none"/>
        </w:rPr>
        <w:t>项目噪声防治措施要求及落实情况见表4-3。</w:t>
      </w:r>
    </w:p>
    <w:p>
      <w:pPr>
        <w:jc w:val="center"/>
        <w:rPr>
          <w:rFonts w:ascii="Times New Roman" w:hAnsi="Times New Roman" w:cs="Times New Roman"/>
          <w:b/>
          <w:bCs/>
          <w:color w:val="auto"/>
          <w:sz w:val="24"/>
          <w:szCs w:val="24"/>
          <w:highlight w:val="none"/>
        </w:rPr>
      </w:pPr>
    </w:p>
    <w:p>
      <w:pPr>
        <w:jc w:val="center"/>
        <w:rPr>
          <w:rFonts w:ascii="Times New Roman" w:hAnsi="Times New Roman" w:cs="Times New Roman"/>
          <w:b/>
          <w:bCs/>
          <w:color w:val="auto"/>
          <w:sz w:val="24"/>
          <w:szCs w:val="24"/>
          <w:highlight w:val="none"/>
        </w:rPr>
      </w:pPr>
    </w:p>
    <w:p>
      <w:pPr>
        <w:jc w:val="center"/>
        <w:rPr>
          <w:rFonts w:ascii="Times New Roman" w:hAnsi="Times New Roman" w:cs="Times New Roman"/>
          <w:b/>
          <w:bCs/>
          <w:color w:val="auto"/>
          <w:sz w:val="24"/>
          <w:szCs w:val="24"/>
          <w:highlight w:val="none"/>
        </w:rPr>
      </w:pPr>
    </w:p>
    <w:p>
      <w:pPr>
        <w:jc w:val="center"/>
        <w:rPr>
          <w:rFonts w:ascii="Times New Roman" w:hAnsi="Times New Roman" w:cs="Times New Roman"/>
          <w:b/>
          <w:bCs/>
          <w:color w:val="auto"/>
          <w:sz w:val="24"/>
          <w:szCs w:val="24"/>
          <w:highlight w:val="none"/>
        </w:rPr>
      </w:pPr>
      <w:r>
        <w:rPr>
          <w:rFonts w:ascii="Times New Roman" w:hAnsi="Times New Roman" w:cs="Times New Roman"/>
          <w:b/>
          <w:bCs/>
          <w:color w:val="auto"/>
          <w:sz w:val="24"/>
          <w:szCs w:val="24"/>
          <w:highlight w:val="none"/>
        </w:rPr>
        <w:t>表4-3  环评噪声防治措施及落实情况</w:t>
      </w:r>
    </w:p>
    <w:tbl>
      <w:tblPr>
        <w:tblStyle w:val="23"/>
        <w:tblW w:w="836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47"/>
        <w:gridCol w:w="5910"/>
        <w:gridCol w:w="17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747" w:type="dxa"/>
            <w:vAlign w:val="center"/>
          </w:tcPr>
          <w:p>
            <w:pPr>
              <w:pStyle w:val="71"/>
              <w:widowControl w:val="0"/>
              <w:pBdr>
                <w:left w:val="none" w:color="auto" w:sz="0" w:space="0"/>
                <w:bottom w:val="none" w:color="auto" w:sz="0" w:space="0"/>
                <w:right w:val="none" w:color="auto" w:sz="0" w:space="0"/>
              </w:pBdr>
              <w:snapToGrid w:val="0"/>
              <w:spacing w:before="0" w:beforeAutospacing="0" w:after="0" w:afterAutospacing="0" w:line="0" w:lineRule="atLeast"/>
              <w:rPr>
                <w:rFonts w:ascii="Times New Roman" w:hAnsi="Times New Roman" w:cs="Times New Roman"/>
                <w:b/>
                <w:bCs/>
                <w:color w:val="auto"/>
                <w:kern w:val="2"/>
                <w:highlight w:val="none"/>
              </w:rPr>
            </w:pPr>
            <w:r>
              <w:rPr>
                <w:rFonts w:ascii="Times New Roman" w:hAnsi="Times New Roman" w:cs="Times New Roman"/>
                <w:b/>
                <w:bCs/>
                <w:color w:val="auto"/>
                <w:kern w:val="2"/>
                <w:highlight w:val="none"/>
              </w:rPr>
              <w:t>污染物</w:t>
            </w:r>
          </w:p>
        </w:tc>
        <w:tc>
          <w:tcPr>
            <w:tcW w:w="5910" w:type="dxa"/>
            <w:vAlign w:val="center"/>
          </w:tcPr>
          <w:p>
            <w:pPr>
              <w:pStyle w:val="71"/>
              <w:widowControl w:val="0"/>
              <w:pBdr>
                <w:left w:val="none" w:color="auto" w:sz="0" w:space="0"/>
                <w:bottom w:val="none" w:color="auto" w:sz="0" w:space="0"/>
                <w:right w:val="none" w:color="auto" w:sz="0" w:space="0"/>
              </w:pBdr>
              <w:snapToGrid w:val="0"/>
              <w:spacing w:before="0" w:beforeAutospacing="0" w:after="0" w:afterAutospacing="0" w:line="0" w:lineRule="atLeast"/>
              <w:rPr>
                <w:rFonts w:ascii="Times New Roman" w:hAnsi="Times New Roman" w:cs="Times New Roman"/>
                <w:b/>
                <w:bCs/>
                <w:color w:val="auto"/>
                <w:kern w:val="2"/>
                <w:highlight w:val="none"/>
              </w:rPr>
            </w:pPr>
            <w:r>
              <w:rPr>
                <w:rFonts w:ascii="Times New Roman" w:hAnsi="Times New Roman" w:cs="Times New Roman"/>
                <w:b/>
                <w:bCs/>
                <w:color w:val="auto"/>
                <w:kern w:val="2"/>
                <w:highlight w:val="none"/>
              </w:rPr>
              <w:t>防治措施</w:t>
            </w:r>
          </w:p>
        </w:tc>
        <w:tc>
          <w:tcPr>
            <w:tcW w:w="1705" w:type="dxa"/>
            <w:vAlign w:val="center"/>
          </w:tcPr>
          <w:p>
            <w:pPr>
              <w:pStyle w:val="71"/>
              <w:widowControl w:val="0"/>
              <w:pBdr>
                <w:left w:val="none" w:color="auto" w:sz="0" w:space="0"/>
                <w:bottom w:val="none" w:color="auto" w:sz="0" w:space="0"/>
                <w:right w:val="none" w:color="auto" w:sz="0" w:space="0"/>
              </w:pBdr>
              <w:snapToGrid w:val="0"/>
              <w:spacing w:before="0" w:beforeAutospacing="0" w:after="0" w:afterAutospacing="0" w:line="0" w:lineRule="atLeast"/>
              <w:rPr>
                <w:rFonts w:ascii="Times New Roman" w:hAnsi="Times New Roman" w:cs="Times New Roman"/>
                <w:b/>
                <w:bCs/>
                <w:color w:val="auto"/>
                <w:kern w:val="2"/>
                <w:highlight w:val="none"/>
              </w:rPr>
            </w:pPr>
            <w:r>
              <w:rPr>
                <w:rFonts w:ascii="Times New Roman" w:hAnsi="Times New Roman" w:cs="Times New Roman"/>
                <w:b/>
                <w:bCs/>
                <w:color w:val="auto"/>
                <w:kern w:val="2"/>
                <w:highlight w:val="none"/>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245" w:hRule="atLeast"/>
          <w:jc w:val="center"/>
        </w:trPr>
        <w:tc>
          <w:tcPr>
            <w:tcW w:w="747" w:type="dxa"/>
            <w:vAlign w:val="center"/>
          </w:tcPr>
          <w:p>
            <w:pPr>
              <w:spacing w:line="0" w:lineRule="atLeas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噪声</w:t>
            </w:r>
          </w:p>
        </w:tc>
        <w:tc>
          <w:tcPr>
            <w:tcW w:w="591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val="en-US" w:eastAsia="zh-CN"/>
              </w:rPr>
              <w:t>1、</w:t>
            </w:r>
            <w:r>
              <w:rPr>
                <w:rFonts w:hint="default" w:ascii="Times New Roman" w:hAnsi="Times New Roman" w:eastAsia="宋体" w:cs="Times New Roman"/>
                <w:color w:val="auto"/>
                <w:sz w:val="21"/>
                <w:szCs w:val="21"/>
                <w:highlight w:val="none"/>
                <w:vertAlign w:val="baseline"/>
                <w:lang w:eastAsia="zh-CN"/>
              </w:rPr>
              <w:t>在设备与基础之间安装减震材料，如橡胶、弹簧、减震垫等。</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val="en-US" w:eastAsia="zh-CN"/>
              </w:rPr>
              <w:t>2、</w:t>
            </w:r>
            <w:r>
              <w:rPr>
                <w:rFonts w:hint="default" w:ascii="Times New Roman" w:hAnsi="Times New Roman" w:eastAsia="宋体" w:cs="Times New Roman"/>
                <w:color w:val="auto"/>
                <w:sz w:val="21"/>
                <w:szCs w:val="21"/>
                <w:highlight w:val="none"/>
                <w:vertAlign w:val="baseline"/>
                <w:lang w:eastAsia="zh-CN"/>
              </w:rPr>
              <w:t>风机、水泵设置隔声罩，风机设备进出口要安装消声器。</w:t>
            </w:r>
          </w:p>
          <w:p>
            <w:pPr>
              <w:pStyle w:val="54"/>
              <w:tabs>
                <w:tab w:val="clear" w:pos="870"/>
              </w:tabs>
              <w:spacing w:line="240" w:lineRule="auto"/>
              <w:ind w:left="0" w:leftChars="0" w:firstLine="0" w:firstLineChars="0"/>
              <w:rPr>
                <w:rFonts w:hint="default" w:ascii="Times New Roman" w:hAnsi="Times New Roman" w:cs="Times New Roman"/>
                <w:color w:val="auto"/>
                <w:kern w:val="0"/>
                <w:sz w:val="21"/>
                <w:szCs w:val="21"/>
                <w:highlight w:val="none"/>
              </w:rPr>
            </w:pPr>
            <w:r>
              <w:rPr>
                <w:rFonts w:hint="eastAsia" w:ascii="Times New Roman" w:hAnsi="Times New Roman" w:eastAsia="宋体" w:cs="Times New Roman"/>
                <w:color w:val="auto"/>
                <w:sz w:val="21"/>
                <w:szCs w:val="21"/>
                <w:highlight w:val="none"/>
                <w:vertAlign w:val="baseline"/>
                <w:lang w:val="en-US" w:eastAsia="zh-CN"/>
              </w:rPr>
              <w:t>3、</w:t>
            </w:r>
            <w:r>
              <w:rPr>
                <w:rFonts w:hint="default" w:ascii="Times New Roman" w:hAnsi="Times New Roman" w:eastAsia="宋体" w:cs="Times New Roman"/>
                <w:color w:val="auto"/>
                <w:sz w:val="21"/>
                <w:szCs w:val="21"/>
                <w:highlight w:val="none"/>
                <w:vertAlign w:val="baseline"/>
                <w:lang w:eastAsia="zh-CN"/>
              </w:rPr>
              <w:t>定期维护设备，避免老化引起的噪声，必要时应及时更换。</w:t>
            </w:r>
          </w:p>
        </w:tc>
        <w:tc>
          <w:tcPr>
            <w:tcW w:w="1705" w:type="dxa"/>
            <w:vAlign w:val="center"/>
          </w:tcPr>
          <w:p>
            <w:pPr>
              <w:wordWrap w:val="0"/>
              <w:ind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企业已合理布局车间，采取了相应的消声、减震措施。</w:t>
            </w:r>
          </w:p>
        </w:tc>
      </w:tr>
    </w:tbl>
    <w:p>
      <w:pPr>
        <w:spacing w:line="360" w:lineRule="auto"/>
        <w:rPr>
          <w:rFonts w:ascii="Times New Roman" w:hAnsi="Times New Roman" w:cs="Times New Roman"/>
          <w:b/>
          <w:color w:val="auto"/>
          <w:sz w:val="24"/>
          <w:szCs w:val="24"/>
          <w:highlight w:val="none"/>
        </w:rPr>
      </w:pPr>
      <w:r>
        <w:rPr>
          <w:rFonts w:ascii="Times New Roman" w:hAnsi="Times New Roman" w:cs="Times New Roman"/>
          <w:b/>
          <w:color w:val="auto"/>
          <w:sz w:val="24"/>
          <w:szCs w:val="24"/>
          <w:highlight w:val="none"/>
        </w:rPr>
        <w:t>4.1.4固体废物</w:t>
      </w:r>
    </w:p>
    <w:p>
      <w:pPr>
        <w:widowControl/>
        <w:spacing w:line="360" w:lineRule="auto"/>
        <w:ind w:firstLine="480" w:firstLineChars="200"/>
        <w:jc w:val="left"/>
        <w:rPr>
          <w:rFonts w:ascii="Times New Roman" w:hAnsi="Times New Roman" w:cs="Times New Roman"/>
          <w:b/>
          <w:color w:val="auto"/>
          <w:sz w:val="24"/>
          <w:szCs w:val="24"/>
          <w:highlight w:val="none"/>
        </w:rPr>
      </w:pPr>
      <w:r>
        <w:rPr>
          <w:rFonts w:ascii="Times New Roman" w:hAnsi="Times New Roman" w:cs="Times New Roman"/>
          <w:color w:val="auto"/>
          <w:sz w:val="24"/>
          <w:szCs w:val="24"/>
          <w:highlight w:val="none"/>
        </w:rPr>
        <w:t>根据现场调查，本项目固体废弃物</w:t>
      </w:r>
      <w:r>
        <w:rPr>
          <w:rFonts w:hint="eastAsia" w:ascii="Times New Roman" w:hAnsi="Times New Roman" w:cs="Times New Roman"/>
          <w:color w:val="auto"/>
          <w:sz w:val="24"/>
          <w:szCs w:val="24"/>
          <w:highlight w:val="none"/>
        </w:rPr>
        <w:t>主</w:t>
      </w:r>
      <w:r>
        <w:rPr>
          <w:rFonts w:ascii="Times New Roman" w:hAnsi="Times New Roman" w:cs="Times New Roman"/>
          <w:color w:val="auto"/>
          <w:sz w:val="24"/>
          <w:szCs w:val="24"/>
          <w:highlight w:val="none"/>
        </w:rPr>
        <w:t>要为</w:t>
      </w:r>
      <w:r>
        <w:rPr>
          <w:rFonts w:hint="eastAsia" w:ascii="Times New Roman" w:hAnsi="Times New Roman" w:cs="Times New Roman"/>
          <w:color w:val="auto"/>
          <w:sz w:val="24"/>
          <w:szCs w:val="24"/>
          <w:highlight w:val="none"/>
        </w:rPr>
        <w:t>边角料、覆膜砂、废</w:t>
      </w:r>
      <w:r>
        <w:rPr>
          <w:rFonts w:hint="eastAsia" w:ascii="Times New Roman" w:hAnsi="Times New Roman" w:cs="Times New Roman"/>
          <w:color w:val="auto"/>
          <w:sz w:val="24"/>
          <w:szCs w:val="24"/>
          <w:highlight w:val="none"/>
          <w:lang w:eastAsia="zh-CN"/>
        </w:rPr>
        <w:t>切削液</w:t>
      </w:r>
      <w:r>
        <w:rPr>
          <w:rFonts w:hint="eastAsia" w:ascii="Times New Roman" w:hAnsi="Times New Roman" w:cs="Times New Roman"/>
          <w:color w:val="auto"/>
          <w:sz w:val="24"/>
          <w:szCs w:val="24"/>
          <w:highlight w:val="none"/>
        </w:rPr>
        <w:t>、废皂化液</w:t>
      </w:r>
      <w:r>
        <w:rPr>
          <w:rFonts w:ascii="Times New Roman" w:hAnsi="Times New Roman" w:cs="Times New Roman"/>
          <w:color w:val="auto"/>
          <w:sz w:val="24"/>
          <w:szCs w:val="24"/>
          <w:highlight w:val="none"/>
        </w:rPr>
        <w:t>和生活垃圾，固废排放及环保设施见表4-4。</w:t>
      </w:r>
    </w:p>
    <w:p>
      <w:pPr>
        <w:pStyle w:val="12"/>
        <w:spacing w:line="240" w:lineRule="auto"/>
        <w:ind w:firstLine="2650" w:firstLineChars="1100"/>
        <w:rPr>
          <w:rFonts w:ascii="Times New Roman" w:hAnsi="Times New Roman" w:cs="Times New Roman"/>
          <w:b/>
          <w:color w:val="auto"/>
          <w:highlight w:val="none"/>
        </w:rPr>
      </w:pPr>
      <w:r>
        <w:rPr>
          <w:rFonts w:ascii="Times New Roman" w:hAnsi="Times New Roman" w:cs="Times New Roman"/>
          <w:b/>
          <w:color w:val="auto"/>
          <w:highlight w:val="none"/>
        </w:rPr>
        <w:t>表4-4  固废产生和处置情况</w:t>
      </w:r>
    </w:p>
    <w:tbl>
      <w:tblPr>
        <w:tblStyle w:val="23"/>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30"/>
        <w:gridCol w:w="1290"/>
        <w:gridCol w:w="963"/>
        <w:gridCol w:w="1786"/>
        <w:gridCol w:w="1019"/>
        <w:gridCol w:w="15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1043" w:type="pct"/>
            <w:tcBorders>
              <w:tl2br w:val="nil"/>
              <w:tr2bl w:val="nil"/>
            </w:tcBorders>
            <w:noWrap w:val="0"/>
            <w:tcMar>
              <w:left w:w="0" w:type="dxa"/>
              <w:right w:w="0" w:type="dxa"/>
            </w:tcMar>
            <w:vAlign w:val="center"/>
          </w:tcPr>
          <w:p>
            <w:pPr>
              <w:pStyle w:val="7"/>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固体废物</w:t>
            </w:r>
          </w:p>
          <w:p>
            <w:pPr>
              <w:pStyle w:val="7"/>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名称</w:t>
            </w:r>
          </w:p>
        </w:tc>
        <w:tc>
          <w:tcPr>
            <w:tcW w:w="777" w:type="pct"/>
            <w:tcBorders>
              <w:tl2br w:val="nil"/>
              <w:tr2bl w:val="nil"/>
            </w:tcBorders>
            <w:noWrap w:val="0"/>
            <w:tcMar>
              <w:left w:w="0" w:type="dxa"/>
              <w:right w:w="0" w:type="dxa"/>
            </w:tcMar>
            <w:vAlign w:val="center"/>
          </w:tcPr>
          <w:p>
            <w:pPr>
              <w:pStyle w:val="7"/>
              <w:rPr>
                <w:rFonts w:hint="default" w:ascii="Times New Roman" w:hAnsi="Times New Roman" w:cs="Times New Roman"/>
                <w:color w:val="auto"/>
                <w:highlight w:val="none"/>
              </w:rPr>
            </w:pPr>
            <w:r>
              <w:rPr>
                <w:rFonts w:hint="eastAsia" w:cs="Times New Roman"/>
                <w:b/>
                <w:bCs/>
                <w:color w:val="auto"/>
                <w:highlight w:val="none"/>
                <w:lang w:eastAsia="zh-CN"/>
              </w:rPr>
              <w:t>产</w:t>
            </w:r>
            <w:r>
              <w:rPr>
                <w:rFonts w:hint="default" w:ascii="Times New Roman" w:hAnsi="Times New Roman" w:cs="Times New Roman"/>
                <w:b/>
                <w:bCs/>
                <w:color w:val="auto"/>
                <w:highlight w:val="none"/>
              </w:rPr>
              <w:t>生工序</w:t>
            </w:r>
          </w:p>
        </w:tc>
        <w:tc>
          <w:tcPr>
            <w:tcW w:w="580" w:type="pct"/>
            <w:tcBorders>
              <w:tl2br w:val="nil"/>
              <w:tr2bl w:val="nil"/>
            </w:tcBorders>
            <w:noWrap w:val="0"/>
            <w:tcMar>
              <w:left w:w="0" w:type="dxa"/>
              <w:right w:w="0" w:type="dxa"/>
            </w:tcMar>
            <w:vAlign w:val="center"/>
          </w:tcPr>
          <w:p>
            <w:pPr>
              <w:pStyle w:val="7"/>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固体废物</w:t>
            </w:r>
          </w:p>
          <w:p>
            <w:pPr>
              <w:pStyle w:val="7"/>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属性</w:t>
            </w:r>
          </w:p>
        </w:tc>
        <w:tc>
          <w:tcPr>
            <w:tcW w:w="1076" w:type="pct"/>
            <w:tcBorders>
              <w:tl2br w:val="nil"/>
              <w:tr2bl w:val="nil"/>
            </w:tcBorders>
            <w:noWrap w:val="0"/>
            <w:tcMar>
              <w:left w:w="0" w:type="dxa"/>
              <w:right w:w="0" w:type="dxa"/>
            </w:tcMar>
            <w:vAlign w:val="center"/>
          </w:tcPr>
          <w:p>
            <w:pPr>
              <w:pStyle w:val="7"/>
              <w:rPr>
                <w:rFonts w:hint="eastAsia" w:ascii="Times New Roman" w:hAnsi="Times New Roman" w:cs="Times New Roman" w:eastAsiaTheme="minorEastAsia"/>
                <w:b/>
                <w:bCs/>
                <w:color w:val="auto"/>
                <w:highlight w:val="none"/>
                <w:lang w:eastAsia="zh-CN"/>
              </w:rPr>
            </w:pPr>
            <w:r>
              <w:rPr>
                <w:rFonts w:hint="eastAsia" w:cs="Times New Roman"/>
                <w:b/>
                <w:bCs/>
                <w:color w:val="auto"/>
                <w:highlight w:val="none"/>
                <w:lang w:eastAsia="zh-CN"/>
              </w:rPr>
              <w:t>危废代码</w:t>
            </w:r>
          </w:p>
        </w:tc>
        <w:tc>
          <w:tcPr>
            <w:tcW w:w="614" w:type="pct"/>
            <w:tcBorders>
              <w:tl2br w:val="nil"/>
              <w:tr2bl w:val="nil"/>
            </w:tcBorders>
            <w:noWrap w:val="0"/>
            <w:tcMar>
              <w:left w:w="0" w:type="dxa"/>
              <w:right w:w="0" w:type="dxa"/>
            </w:tcMar>
            <w:vAlign w:val="center"/>
          </w:tcPr>
          <w:p>
            <w:pPr>
              <w:pStyle w:val="7"/>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产生量（t/a）</w:t>
            </w:r>
          </w:p>
        </w:tc>
        <w:tc>
          <w:tcPr>
            <w:tcW w:w="906" w:type="pct"/>
            <w:tcBorders>
              <w:tl2br w:val="nil"/>
              <w:tr2bl w:val="nil"/>
            </w:tcBorders>
            <w:noWrap w:val="0"/>
            <w:tcMar>
              <w:left w:w="0" w:type="dxa"/>
              <w:right w:w="0" w:type="dxa"/>
            </w:tcMar>
            <w:vAlign w:val="center"/>
          </w:tcPr>
          <w:p>
            <w:pPr>
              <w:pStyle w:val="7"/>
              <w:rPr>
                <w:rFonts w:hint="eastAsia" w:ascii="Times New Roman" w:hAnsi="Times New Roman" w:cs="Times New Roman" w:eastAsiaTheme="minorEastAsia"/>
                <w:b/>
                <w:bCs/>
                <w:color w:val="auto"/>
                <w:highlight w:val="none"/>
                <w:lang w:eastAsia="zh-CN"/>
              </w:rPr>
            </w:pPr>
            <w:r>
              <w:rPr>
                <w:rFonts w:hint="eastAsia" w:cs="Times New Roman"/>
                <w:b/>
                <w:bCs/>
                <w:color w:val="auto"/>
                <w:highlight w:val="none"/>
                <w:lang w:eastAsia="zh-CN"/>
              </w:rPr>
              <w:t>处置方式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pStyle w:val="29"/>
              <w:keepNext w:val="0"/>
              <w:keepLines w:val="0"/>
              <w:pageBreakBefore w:val="0"/>
              <w:kinsoku/>
              <w:wordWrap/>
              <w:overflowPunct/>
              <w:topLinePunct w:val="0"/>
              <w:bidi w:val="0"/>
              <w:snapToGrid/>
              <w:spacing w:line="360" w:lineRule="exact"/>
              <w:ind w:firstLine="0" w:firstLineChars="0"/>
              <w:jc w:val="center"/>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highlight w:val="none"/>
                <w:vertAlign w:val="baseline"/>
                <w:lang w:val="en-US" w:eastAsia="zh-CN"/>
              </w:rPr>
              <w:t>废钢铁</w:t>
            </w:r>
          </w:p>
        </w:tc>
        <w:tc>
          <w:tcPr>
            <w:tcW w:w="777" w:type="pct"/>
            <w:tcBorders>
              <w:tl2br w:val="nil"/>
              <w:tr2bl w:val="nil"/>
            </w:tcBorders>
            <w:noWrap w:val="0"/>
            <w:tcMar>
              <w:left w:w="0" w:type="dxa"/>
              <w:right w:w="0" w:type="dxa"/>
            </w:tcMar>
            <w:vAlign w:val="center"/>
          </w:tcPr>
          <w:p>
            <w:pPr>
              <w:pStyle w:val="29"/>
              <w:keepNext w:val="0"/>
              <w:keepLines w:val="0"/>
              <w:pageBreakBefore w:val="0"/>
              <w:kinsoku/>
              <w:wordWrap/>
              <w:overflowPunct/>
              <w:topLinePunct w:val="0"/>
              <w:bidi w:val="0"/>
              <w:snapToGrid/>
              <w:spacing w:line="360" w:lineRule="exact"/>
              <w:ind w:firstLine="0" w:firstLineChars="0"/>
              <w:jc w:val="center"/>
              <w:rPr>
                <w:rFonts w:hint="default" w:ascii="Times New Roman" w:hAnsi="Times New Roman" w:eastAsia="宋体" w:cs="Times New Roman"/>
                <w:color w:val="auto"/>
                <w:sz w:val="24"/>
                <w:szCs w:val="22"/>
                <w:highlight w:val="no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拆解</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一般固废</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lang w:val="en-GB" w:eastAsia="zh-CN"/>
              </w:rPr>
            </w:pPr>
            <w:r>
              <w:rPr>
                <w:rFonts w:hint="default" w:ascii="Times New Roman" w:hAnsi="Times New Roman" w:cs="Times New Roman"/>
                <w:color w:val="auto"/>
                <w:highlight w:val="none"/>
                <w:lang w:val="en-GB" w:eastAsia="zh-CN"/>
              </w:rPr>
              <w:t>/</w:t>
            </w:r>
          </w:p>
        </w:tc>
        <w:tc>
          <w:tcPr>
            <w:tcW w:w="614"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i w:val="0"/>
                <w:color w:val="auto"/>
                <w:kern w:val="0"/>
                <w:sz w:val="21"/>
                <w:szCs w:val="21"/>
                <w:highlight w:val="none"/>
                <w:u w:val="none"/>
                <w:lang w:val="en-US" w:eastAsia="zh-CN" w:bidi="ar"/>
              </w:rPr>
              <w:t>38101.8</w:t>
            </w:r>
          </w:p>
        </w:tc>
        <w:tc>
          <w:tcPr>
            <w:tcW w:w="906" w:type="pct"/>
            <w:vMerge w:val="restart"/>
            <w:tcBorders>
              <w:tl2br w:val="nil"/>
              <w:tr2bl w:val="nil"/>
            </w:tcBorders>
            <w:noWrap w:val="0"/>
            <w:tcMar>
              <w:left w:w="0" w:type="dxa"/>
              <w:right w:w="0" w:type="dxa"/>
            </w:tcMar>
            <w:vAlign w:val="center"/>
          </w:tcPr>
          <w:p>
            <w:pPr>
              <w:pStyle w:val="7"/>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外售</w:t>
            </w:r>
            <w:r>
              <w:rPr>
                <w:rFonts w:hint="eastAsia" w:cs="Times New Roman"/>
                <w:color w:val="auto"/>
                <w:highlight w:val="none"/>
                <w:lang w:eastAsia="zh-CN"/>
              </w:rPr>
              <w:t>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b w:val="0"/>
                <w:bCs w:val="0"/>
                <w:color w:val="auto"/>
                <w:sz w:val="21"/>
                <w:szCs w:val="21"/>
                <w:highlight w:val="none"/>
                <w:vertAlign w:val="baseline"/>
                <w:lang w:val="en-GB" w:eastAsia="zh-CN"/>
              </w:rPr>
              <w:t>废有色金属</w:t>
            </w:r>
          </w:p>
        </w:tc>
        <w:tc>
          <w:tcPr>
            <w:tcW w:w="777" w:type="pct"/>
            <w:tcBorders>
              <w:tl2br w:val="nil"/>
              <w:tr2bl w:val="nil"/>
            </w:tcBorders>
            <w:noWrap w:val="0"/>
            <w:tcMar>
              <w:left w:w="0" w:type="dxa"/>
              <w:right w:w="0" w:type="dxa"/>
            </w:tcMar>
            <w:vAlign w:val="center"/>
          </w:tcPr>
          <w:p>
            <w:pPr>
              <w:pStyle w:val="29"/>
              <w:keepNext w:val="0"/>
              <w:keepLines w:val="0"/>
              <w:pageBreakBefore w:val="0"/>
              <w:kinsoku/>
              <w:wordWrap/>
              <w:overflowPunct/>
              <w:topLinePunct w:val="0"/>
              <w:bidi w:val="0"/>
              <w:snapToGrid/>
              <w:spacing w:line="360" w:lineRule="exact"/>
              <w:ind w:firstLine="0" w:firstLineChars="0"/>
              <w:jc w:val="center"/>
              <w:rPr>
                <w:rFonts w:hint="default" w:ascii="Times New Roman" w:hAnsi="Times New Roman" w:eastAsia="宋体" w:cs="Times New Roman"/>
                <w:color w:val="auto"/>
                <w:sz w:val="24"/>
                <w:szCs w:val="22"/>
                <w:highlight w:val="none"/>
                <w:lang w:val="en-GB" w:eastAsia="zh-CN" w:bidi="ar-SA"/>
              </w:rPr>
            </w:pPr>
            <w:r>
              <w:rPr>
                <w:rFonts w:hint="default" w:ascii="Times New Roman" w:hAnsi="Times New Roman" w:eastAsia="宋体" w:cs="Times New Roman"/>
                <w:color w:val="auto"/>
                <w:sz w:val="21"/>
                <w:szCs w:val="21"/>
                <w:highlight w:val="none"/>
                <w:vertAlign w:val="baseline"/>
                <w:lang w:val="en-US" w:eastAsia="zh-CN"/>
              </w:rPr>
              <w:t>拆解</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一般固废</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lang w:val="en-GB" w:eastAsia="zh-CN"/>
              </w:rPr>
            </w:pPr>
            <w:r>
              <w:rPr>
                <w:rFonts w:hint="default" w:ascii="Times New Roman" w:hAnsi="Times New Roman" w:cs="Times New Roman"/>
                <w:color w:val="auto"/>
                <w:highlight w:val="none"/>
                <w:lang w:val="en-GB" w:eastAsia="zh-CN"/>
              </w:rPr>
              <w:t>/</w:t>
            </w:r>
          </w:p>
        </w:tc>
        <w:tc>
          <w:tcPr>
            <w:tcW w:w="614"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i w:val="0"/>
                <w:color w:val="auto"/>
                <w:kern w:val="0"/>
                <w:sz w:val="21"/>
                <w:szCs w:val="21"/>
                <w:highlight w:val="none"/>
                <w:u w:val="none"/>
                <w:lang w:val="en-US" w:eastAsia="zh-CN" w:bidi="ar"/>
              </w:rPr>
              <w:t>5219</w:t>
            </w:r>
          </w:p>
        </w:tc>
        <w:tc>
          <w:tcPr>
            <w:tcW w:w="906" w:type="pct"/>
            <w:vMerge w:val="continue"/>
            <w:tcBorders>
              <w:tl2br w:val="nil"/>
              <w:tr2bl w:val="nil"/>
            </w:tcBorders>
            <w:noWrap w:val="0"/>
            <w:tcMar>
              <w:left w:w="0" w:type="dxa"/>
              <w:right w:w="0" w:type="dxa"/>
            </w:tcMar>
            <w:vAlign w:val="center"/>
          </w:tcPr>
          <w:p>
            <w:pPr>
              <w:pStyle w:val="7"/>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b w:val="0"/>
                <w:bCs w:val="0"/>
                <w:color w:val="auto"/>
                <w:sz w:val="21"/>
                <w:szCs w:val="21"/>
                <w:highlight w:val="none"/>
                <w:vertAlign w:val="baseline"/>
                <w:lang w:val="en-GB" w:eastAsia="zh-CN"/>
              </w:rPr>
              <w:t>废塑料</w:t>
            </w:r>
          </w:p>
        </w:tc>
        <w:tc>
          <w:tcPr>
            <w:tcW w:w="777" w:type="pct"/>
            <w:tcBorders>
              <w:tl2br w:val="nil"/>
              <w:tr2bl w:val="nil"/>
            </w:tcBorders>
            <w:noWrap w:val="0"/>
            <w:tcMar>
              <w:left w:w="0" w:type="dxa"/>
              <w:right w:w="0" w:type="dxa"/>
            </w:tcMar>
            <w:vAlign w:val="center"/>
          </w:tcPr>
          <w:p>
            <w:pPr>
              <w:pStyle w:val="29"/>
              <w:keepNext w:val="0"/>
              <w:keepLines w:val="0"/>
              <w:pageBreakBefore w:val="0"/>
              <w:kinsoku/>
              <w:wordWrap/>
              <w:overflowPunct/>
              <w:topLinePunct w:val="0"/>
              <w:bidi w:val="0"/>
              <w:snapToGrid/>
              <w:spacing w:line="360" w:lineRule="exact"/>
              <w:ind w:firstLine="0" w:firstLineChars="0"/>
              <w:jc w:val="center"/>
              <w:rPr>
                <w:rFonts w:hint="default" w:ascii="Times New Roman" w:hAnsi="Times New Roman" w:eastAsia="宋体" w:cs="Times New Roman"/>
                <w:color w:val="auto"/>
                <w:sz w:val="24"/>
                <w:szCs w:val="22"/>
                <w:highlight w:val="none"/>
                <w:lang w:val="en-GB" w:eastAsia="zh-CN" w:bidi="ar-SA"/>
              </w:rPr>
            </w:pPr>
            <w:r>
              <w:rPr>
                <w:rFonts w:hint="default" w:ascii="Times New Roman" w:hAnsi="Times New Roman" w:eastAsia="宋体" w:cs="Times New Roman"/>
                <w:color w:val="auto"/>
                <w:sz w:val="21"/>
                <w:szCs w:val="21"/>
                <w:highlight w:val="none"/>
                <w:vertAlign w:val="baseline"/>
                <w:lang w:val="en-US" w:eastAsia="zh-CN"/>
              </w:rPr>
              <w:t>拆解</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一般固废</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lang w:val="en-GB" w:eastAsia="zh-CN"/>
              </w:rPr>
            </w:pPr>
            <w:r>
              <w:rPr>
                <w:rFonts w:hint="default" w:ascii="Times New Roman" w:hAnsi="Times New Roman" w:cs="Times New Roman"/>
                <w:color w:val="auto"/>
                <w:highlight w:val="none"/>
                <w:lang w:val="en-GB" w:eastAsia="zh-CN"/>
              </w:rPr>
              <w:t>/</w:t>
            </w:r>
          </w:p>
        </w:tc>
        <w:tc>
          <w:tcPr>
            <w:tcW w:w="614"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i w:val="0"/>
                <w:color w:val="auto"/>
                <w:kern w:val="0"/>
                <w:sz w:val="21"/>
                <w:szCs w:val="21"/>
                <w:highlight w:val="none"/>
                <w:u w:val="none"/>
                <w:lang w:val="en-US" w:eastAsia="zh-CN" w:bidi="ar"/>
              </w:rPr>
              <w:t>6728</w:t>
            </w:r>
          </w:p>
        </w:tc>
        <w:tc>
          <w:tcPr>
            <w:tcW w:w="906" w:type="pct"/>
            <w:vMerge w:val="restart"/>
            <w:tcBorders>
              <w:tl2br w:val="nil"/>
              <w:tr2bl w:val="nil"/>
            </w:tcBorders>
            <w:noWrap w:val="0"/>
            <w:tcMar>
              <w:left w:w="0" w:type="dxa"/>
              <w:right w:w="0" w:type="dxa"/>
            </w:tcMar>
            <w:vAlign w:val="center"/>
          </w:tcPr>
          <w:p>
            <w:pPr>
              <w:pStyle w:val="7"/>
              <w:rPr>
                <w:rFonts w:hint="default" w:ascii="Times New Roman" w:hAnsi="Times New Roman" w:cs="Times New Roman"/>
                <w:color w:val="auto"/>
                <w:highlight w:val="none"/>
              </w:rPr>
            </w:pPr>
            <w:r>
              <w:rPr>
                <w:rFonts w:hint="default" w:ascii="Times New Roman" w:hAnsi="Times New Roman" w:cs="Times New Roman"/>
                <w:color w:val="auto"/>
                <w:highlight w:val="none"/>
              </w:rPr>
              <w:t>委托宁波隆欣环境科技有限公司进行安全处置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b w:val="0"/>
                <w:bCs w:val="0"/>
                <w:color w:val="auto"/>
                <w:sz w:val="21"/>
                <w:szCs w:val="21"/>
                <w:highlight w:val="none"/>
                <w:vertAlign w:val="baseline"/>
                <w:lang w:val="en-GB" w:eastAsia="zh-CN"/>
              </w:rPr>
              <w:t>废橡胶</w:t>
            </w:r>
          </w:p>
        </w:tc>
        <w:tc>
          <w:tcPr>
            <w:tcW w:w="777" w:type="pct"/>
            <w:tcBorders>
              <w:tl2br w:val="nil"/>
              <w:tr2bl w:val="nil"/>
            </w:tcBorders>
            <w:noWrap w:val="0"/>
            <w:tcMar>
              <w:left w:w="0" w:type="dxa"/>
              <w:right w:w="0" w:type="dxa"/>
            </w:tcMar>
            <w:vAlign w:val="center"/>
          </w:tcPr>
          <w:p>
            <w:pPr>
              <w:pStyle w:val="29"/>
              <w:keepNext w:val="0"/>
              <w:keepLines w:val="0"/>
              <w:pageBreakBefore w:val="0"/>
              <w:kinsoku/>
              <w:wordWrap/>
              <w:overflowPunct/>
              <w:topLinePunct w:val="0"/>
              <w:bidi w:val="0"/>
              <w:snapToGrid/>
              <w:spacing w:line="360" w:lineRule="exact"/>
              <w:ind w:firstLine="0" w:firstLineChars="0"/>
              <w:jc w:val="center"/>
              <w:rPr>
                <w:rFonts w:hint="default" w:ascii="Times New Roman" w:hAnsi="Times New Roman" w:eastAsia="宋体" w:cs="Times New Roman"/>
                <w:color w:val="auto"/>
                <w:sz w:val="24"/>
                <w:szCs w:val="22"/>
                <w:highlight w:val="none"/>
                <w:lang w:val="en-GB" w:eastAsia="zh-CN" w:bidi="ar-SA"/>
              </w:rPr>
            </w:pPr>
            <w:r>
              <w:rPr>
                <w:rFonts w:hint="default" w:ascii="Times New Roman" w:hAnsi="Times New Roman" w:eastAsia="宋体" w:cs="Times New Roman"/>
                <w:color w:val="auto"/>
                <w:sz w:val="21"/>
                <w:szCs w:val="21"/>
                <w:highlight w:val="none"/>
                <w:vertAlign w:val="baseline"/>
                <w:lang w:val="en-US" w:eastAsia="zh-CN"/>
              </w:rPr>
              <w:t>拆解</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一般固废</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lang w:val="en-GB" w:eastAsia="zh-CN"/>
              </w:rPr>
            </w:pPr>
            <w:r>
              <w:rPr>
                <w:rFonts w:hint="default" w:ascii="Times New Roman" w:hAnsi="Times New Roman" w:cs="Times New Roman"/>
                <w:color w:val="auto"/>
                <w:highlight w:val="none"/>
                <w:lang w:val="en-GB" w:eastAsia="zh-CN"/>
              </w:rPr>
              <w:t>/</w:t>
            </w:r>
          </w:p>
        </w:tc>
        <w:tc>
          <w:tcPr>
            <w:tcW w:w="614"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i w:val="0"/>
                <w:color w:val="auto"/>
                <w:kern w:val="0"/>
                <w:sz w:val="21"/>
                <w:szCs w:val="21"/>
                <w:highlight w:val="none"/>
                <w:u w:val="none"/>
                <w:lang w:val="en-US" w:eastAsia="zh-CN" w:bidi="ar"/>
              </w:rPr>
              <w:t>6597.8</w:t>
            </w:r>
          </w:p>
        </w:tc>
        <w:tc>
          <w:tcPr>
            <w:tcW w:w="906" w:type="pct"/>
            <w:vMerge w:val="continue"/>
            <w:tcBorders>
              <w:tl2br w:val="nil"/>
              <w:tr2bl w:val="nil"/>
            </w:tcBorders>
            <w:noWrap w:val="0"/>
            <w:tcMar>
              <w:left w:w="0" w:type="dxa"/>
              <w:right w:w="0" w:type="dxa"/>
            </w:tcMar>
            <w:vAlign w:val="center"/>
          </w:tcPr>
          <w:p>
            <w:pPr>
              <w:pStyle w:val="7"/>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b w:val="0"/>
                <w:bCs w:val="0"/>
                <w:color w:val="auto"/>
                <w:sz w:val="21"/>
                <w:szCs w:val="21"/>
                <w:highlight w:val="none"/>
                <w:vertAlign w:val="baseline"/>
                <w:lang w:val="en-GB" w:eastAsia="zh-CN"/>
              </w:rPr>
              <w:t>陶瓷、泡沫</w:t>
            </w:r>
          </w:p>
        </w:tc>
        <w:tc>
          <w:tcPr>
            <w:tcW w:w="777" w:type="pct"/>
            <w:tcBorders>
              <w:tl2br w:val="nil"/>
              <w:tr2bl w:val="nil"/>
            </w:tcBorders>
            <w:noWrap w:val="0"/>
            <w:tcMar>
              <w:left w:w="0" w:type="dxa"/>
              <w:right w:w="0" w:type="dxa"/>
            </w:tcMar>
            <w:vAlign w:val="center"/>
          </w:tcPr>
          <w:p>
            <w:pPr>
              <w:pStyle w:val="29"/>
              <w:keepNext w:val="0"/>
              <w:keepLines w:val="0"/>
              <w:pageBreakBefore w:val="0"/>
              <w:kinsoku/>
              <w:wordWrap/>
              <w:overflowPunct/>
              <w:topLinePunct w:val="0"/>
              <w:bidi w:val="0"/>
              <w:snapToGrid/>
              <w:spacing w:line="360" w:lineRule="exact"/>
              <w:ind w:firstLine="0" w:firstLineChars="0"/>
              <w:jc w:val="center"/>
              <w:rPr>
                <w:rFonts w:hint="default" w:ascii="Times New Roman" w:hAnsi="Times New Roman" w:eastAsia="宋体" w:cs="Times New Roman"/>
                <w:color w:val="auto"/>
                <w:sz w:val="24"/>
                <w:szCs w:val="22"/>
                <w:highlight w:val="none"/>
                <w:lang w:val="en-GB" w:eastAsia="zh-CN" w:bidi="ar-SA"/>
              </w:rPr>
            </w:pPr>
            <w:r>
              <w:rPr>
                <w:rFonts w:hint="default" w:ascii="Times New Roman" w:hAnsi="Times New Roman" w:eastAsia="宋体" w:cs="Times New Roman"/>
                <w:color w:val="auto"/>
                <w:sz w:val="21"/>
                <w:szCs w:val="21"/>
                <w:highlight w:val="none"/>
                <w:vertAlign w:val="baseline"/>
                <w:lang w:val="en-US" w:eastAsia="zh-CN"/>
              </w:rPr>
              <w:t>拆解</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一般固废</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lang w:val="en-GB" w:eastAsia="zh-CN"/>
              </w:rPr>
            </w:pPr>
            <w:r>
              <w:rPr>
                <w:rFonts w:hint="default" w:ascii="Times New Roman" w:hAnsi="Times New Roman" w:cs="Times New Roman"/>
                <w:color w:val="auto"/>
                <w:highlight w:val="none"/>
                <w:lang w:val="en-GB" w:eastAsia="zh-CN"/>
              </w:rPr>
              <w:t>/</w:t>
            </w:r>
          </w:p>
        </w:tc>
        <w:tc>
          <w:tcPr>
            <w:tcW w:w="614"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i w:val="0"/>
                <w:color w:val="auto"/>
                <w:kern w:val="0"/>
                <w:sz w:val="21"/>
                <w:szCs w:val="21"/>
                <w:highlight w:val="none"/>
                <w:u w:val="none"/>
                <w:lang w:val="en-US" w:eastAsia="zh-CN" w:bidi="ar"/>
              </w:rPr>
              <w:t>678</w:t>
            </w:r>
          </w:p>
        </w:tc>
        <w:tc>
          <w:tcPr>
            <w:tcW w:w="906" w:type="pct"/>
            <w:vMerge w:val="continue"/>
            <w:tcBorders>
              <w:tl2br w:val="nil"/>
              <w:tr2bl w:val="nil"/>
            </w:tcBorders>
            <w:noWrap w:val="0"/>
            <w:tcMar>
              <w:left w:w="0" w:type="dxa"/>
              <w:right w:w="0" w:type="dxa"/>
            </w:tcMar>
            <w:vAlign w:val="center"/>
          </w:tcPr>
          <w:p>
            <w:pPr>
              <w:pStyle w:val="7"/>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b w:val="0"/>
                <w:bCs w:val="0"/>
                <w:color w:val="auto"/>
                <w:sz w:val="21"/>
                <w:szCs w:val="21"/>
                <w:highlight w:val="none"/>
                <w:vertAlign w:val="baseline"/>
                <w:lang w:val="en-GB" w:eastAsia="zh-CN"/>
              </w:rPr>
              <w:t>废玻璃</w:t>
            </w:r>
          </w:p>
        </w:tc>
        <w:tc>
          <w:tcPr>
            <w:tcW w:w="777" w:type="pct"/>
            <w:tcBorders>
              <w:tl2br w:val="nil"/>
              <w:tr2bl w:val="nil"/>
            </w:tcBorders>
            <w:noWrap w:val="0"/>
            <w:tcMar>
              <w:left w:w="0" w:type="dxa"/>
              <w:right w:w="0" w:type="dxa"/>
            </w:tcMar>
            <w:vAlign w:val="center"/>
          </w:tcPr>
          <w:p>
            <w:pPr>
              <w:pStyle w:val="29"/>
              <w:keepNext w:val="0"/>
              <w:keepLines w:val="0"/>
              <w:pageBreakBefore w:val="0"/>
              <w:kinsoku/>
              <w:wordWrap/>
              <w:overflowPunct/>
              <w:topLinePunct w:val="0"/>
              <w:bidi w:val="0"/>
              <w:snapToGrid/>
              <w:spacing w:line="360" w:lineRule="exact"/>
              <w:ind w:firstLine="0" w:firstLineChars="0"/>
              <w:jc w:val="center"/>
              <w:rPr>
                <w:rFonts w:hint="default" w:ascii="Times New Roman" w:hAnsi="Times New Roman" w:eastAsia="宋体" w:cs="Times New Roman"/>
                <w:color w:val="auto"/>
                <w:sz w:val="24"/>
                <w:szCs w:val="22"/>
                <w:highlight w:val="none"/>
                <w:lang w:val="en-GB" w:eastAsia="zh-CN" w:bidi="ar-SA"/>
              </w:rPr>
            </w:pPr>
            <w:r>
              <w:rPr>
                <w:rFonts w:hint="default" w:ascii="Times New Roman" w:hAnsi="Times New Roman" w:eastAsia="宋体" w:cs="Times New Roman"/>
                <w:color w:val="auto"/>
                <w:sz w:val="21"/>
                <w:szCs w:val="21"/>
                <w:highlight w:val="none"/>
                <w:vertAlign w:val="baseline"/>
                <w:lang w:val="en-US" w:eastAsia="zh-CN"/>
              </w:rPr>
              <w:t>拆解</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一般固废</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lang w:val="en-GB" w:eastAsia="zh-CN"/>
              </w:rPr>
            </w:pPr>
            <w:r>
              <w:rPr>
                <w:rFonts w:hint="default" w:ascii="Times New Roman" w:hAnsi="Times New Roman" w:cs="Times New Roman"/>
                <w:color w:val="auto"/>
                <w:highlight w:val="none"/>
                <w:lang w:val="en-GB" w:eastAsia="zh-CN"/>
              </w:rPr>
              <w:t>/</w:t>
            </w:r>
          </w:p>
        </w:tc>
        <w:tc>
          <w:tcPr>
            <w:tcW w:w="614"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i w:val="0"/>
                <w:color w:val="auto"/>
                <w:kern w:val="0"/>
                <w:sz w:val="21"/>
                <w:szCs w:val="21"/>
                <w:highlight w:val="none"/>
                <w:u w:val="none"/>
                <w:lang w:val="en-US" w:eastAsia="zh-CN" w:bidi="ar"/>
              </w:rPr>
              <w:t>677.6</w:t>
            </w:r>
          </w:p>
        </w:tc>
        <w:tc>
          <w:tcPr>
            <w:tcW w:w="906" w:type="pct"/>
            <w:vMerge w:val="continue"/>
            <w:tcBorders>
              <w:tl2br w:val="nil"/>
              <w:tr2bl w:val="nil"/>
            </w:tcBorders>
            <w:noWrap w:val="0"/>
            <w:tcMar>
              <w:left w:w="0" w:type="dxa"/>
              <w:right w:w="0" w:type="dxa"/>
            </w:tcMar>
            <w:vAlign w:val="center"/>
          </w:tcPr>
          <w:p>
            <w:pPr>
              <w:pStyle w:val="7"/>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color w:val="auto"/>
                <w:kern w:val="2"/>
                <w:sz w:val="21"/>
                <w:szCs w:val="22"/>
                <w:highlight w:val="none"/>
                <w:lang w:val="en-GB" w:eastAsia="zh-CN" w:bidi="ar-SA"/>
              </w:rPr>
            </w:pPr>
            <w:r>
              <w:rPr>
                <w:rFonts w:hint="default" w:ascii="Times New Roman" w:hAnsi="Times New Roman" w:eastAsia="宋体" w:cs="Times New Roman"/>
                <w:b w:val="0"/>
                <w:bCs w:val="0"/>
                <w:color w:val="auto"/>
                <w:sz w:val="21"/>
                <w:szCs w:val="21"/>
                <w:highlight w:val="none"/>
                <w:vertAlign w:val="baseline"/>
                <w:lang w:val="en-GB" w:eastAsia="zh-CN"/>
              </w:rPr>
              <w:t>引爆后的安全气囊</w:t>
            </w:r>
          </w:p>
        </w:tc>
        <w:tc>
          <w:tcPr>
            <w:tcW w:w="777"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color w:val="auto"/>
                <w:kern w:val="2"/>
                <w:sz w:val="21"/>
                <w:szCs w:val="22"/>
                <w:highlight w:val="none"/>
                <w:lang w:val="en-US" w:eastAsia="zh-CN" w:bidi="ar-SA"/>
              </w:rPr>
            </w:pPr>
            <w:r>
              <w:rPr>
                <w:rFonts w:hint="default" w:ascii="Times New Roman" w:hAnsi="Times New Roman" w:eastAsia="宋体" w:cs="Times New Roman"/>
                <w:b w:val="0"/>
                <w:bCs w:val="0"/>
                <w:color w:val="auto"/>
                <w:sz w:val="21"/>
                <w:szCs w:val="21"/>
                <w:highlight w:val="none"/>
                <w:vertAlign w:val="baseline"/>
                <w:lang w:val="en-GB" w:eastAsia="zh-CN"/>
              </w:rPr>
              <w:t>预拆解</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eastAsiaTheme="minorEastAsia"/>
                <w:color w:val="auto"/>
                <w:kern w:val="0"/>
                <w:sz w:val="21"/>
                <w:szCs w:val="22"/>
                <w:highlight w:val="none"/>
                <w:lang w:val="en-US" w:eastAsia="zh-CN" w:bidi="ar-SA"/>
              </w:rPr>
            </w:pPr>
            <w:r>
              <w:rPr>
                <w:rFonts w:hint="default" w:ascii="Times New Roman" w:hAnsi="Times New Roman" w:cs="Times New Roman"/>
                <w:color w:val="auto"/>
                <w:highlight w:val="none"/>
                <w:lang w:eastAsia="zh-CN"/>
              </w:rPr>
              <w:t>一般固废</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eastAsiaTheme="minorEastAsia"/>
                <w:color w:val="auto"/>
                <w:kern w:val="0"/>
                <w:sz w:val="21"/>
                <w:szCs w:val="22"/>
                <w:highlight w:val="none"/>
                <w:lang w:val="en-GB" w:eastAsia="zh-CN" w:bidi="ar-SA"/>
              </w:rPr>
            </w:pPr>
            <w:r>
              <w:rPr>
                <w:rFonts w:hint="default" w:ascii="Times New Roman" w:hAnsi="Times New Roman" w:cs="Times New Roman"/>
                <w:color w:val="auto"/>
                <w:highlight w:val="none"/>
                <w:lang w:val="en-GB" w:eastAsia="zh-CN"/>
              </w:rPr>
              <w:t>/</w:t>
            </w:r>
          </w:p>
        </w:tc>
        <w:tc>
          <w:tcPr>
            <w:tcW w:w="614"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cs="Times New Roman" w:eastAsiaTheme="minorEastAsia"/>
                <w:color w:val="auto"/>
                <w:kern w:val="2"/>
                <w:sz w:val="21"/>
                <w:szCs w:val="22"/>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130</w:t>
            </w:r>
          </w:p>
        </w:tc>
        <w:tc>
          <w:tcPr>
            <w:tcW w:w="906" w:type="pct"/>
            <w:vMerge w:val="continue"/>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eastAsiaTheme="minorEastAsia"/>
                <w:color w:val="auto"/>
                <w:kern w:val="0"/>
                <w:sz w:val="21"/>
                <w:szCs w:val="22"/>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GB" w:eastAsia="zh-CN"/>
              </w:rPr>
            </w:pPr>
            <w:r>
              <w:rPr>
                <w:rFonts w:hint="eastAsia" w:ascii="Times New Roman" w:hAnsi="Times New Roman" w:eastAsia="宋体" w:cs="Times New Roman"/>
                <w:b w:val="0"/>
                <w:bCs w:val="0"/>
                <w:color w:val="auto"/>
                <w:sz w:val="21"/>
                <w:szCs w:val="21"/>
                <w:highlight w:val="none"/>
                <w:vertAlign w:val="baseline"/>
                <w:lang w:val="en-GB" w:eastAsia="zh-CN"/>
              </w:rPr>
              <w:t>废活性炭</w:t>
            </w:r>
          </w:p>
        </w:tc>
        <w:tc>
          <w:tcPr>
            <w:tcW w:w="777"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GB" w:eastAsia="zh-CN"/>
              </w:rPr>
            </w:pPr>
            <w:r>
              <w:rPr>
                <w:rFonts w:hint="eastAsia" w:ascii="Times New Roman" w:hAnsi="Times New Roman" w:eastAsia="宋体" w:cs="Times New Roman"/>
                <w:b w:val="0"/>
                <w:bCs w:val="0"/>
                <w:color w:val="auto"/>
                <w:sz w:val="21"/>
                <w:szCs w:val="21"/>
                <w:highlight w:val="none"/>
                <w:vertAlign w:val="baseline"/>
                <w:lang w:val="en-GB" w:eastAsia="zh-CN"/>
              </w:rPr>
              <w:t>废气处理设备</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危险废物</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HW</w:t>
            </w:r>
            <w:r>
              <w:rPr>
                <w:rFonts w:hint="eastAsia" w:cs="Times New Roman"/>
                <w:color w:val="auto"/>
                <w:highlight w:val="none"/>
                <w:lang w:val="en-US" w:eastAsia="zh-CN"/>
              </w:rPr>
              <w:t>49</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val="en-GB" w:eastAsia="zh-CN"/>
              </w:rPr>
              <w:t>900-</w:t>
            </w:r>
            <w:r>
              <w:rPr>
                <w:rFonts w:hint="eastAsia" w:cs="Times New Roman"/>
                <w:color w:val="auto"/>
                <w:highlight w:val="none"/>
                <w:lang w:val="en-US" w:eastAsia="zh-CN"/>
              </w:rPr>
              <w:t>039</w:t>
            </w:r>
            <w:r>
              <w:rPr>
                <w:rFonts w:hint="default" w:ascii="Times New Roman" w:hAnsi="Times New Roman" w:cs="Times New Roman"/>
                <w:color w:val="auto"/>
                <w:highlight w:val="none"/>
                <w:lang w:val="en-GB" w:eastAsia="zh-CN"/>
              </w:rPr>
              <w:t>-</w:t>
            </w:r>
            <w:r>
              <w:rPr>
                <w:rFonts w:hint="eastAsia" w:cs="Times New Roman"/>
                <w:color w:val="auto"/>
                <w:highlight w:val="none"/>
                <w:lang w:val="en-US" w:eastAsia="zh-CN"/>
              </w:rPr>
              <w:t>49</w:t>
            </w:r>
          </w:p>
        </w:tc>
        <w:tc>
          <w:tcPr>
            <w:tcW w:w="614"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200</w:t>
            </w:r>
          </w:p>
        </w:tc>
        <w:tc>
          <w:tcPr>
            <w:tcW w:w="906" w:type="pct"/>
            <w:vMerge w:val="continue"/>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eastAsiaTheme="minorEastAsia"/>
                <w:color w:val="auto"/>
                <w:kern w:val="0"/>
                <w:sz w:val="21"/>
                <w:szCs w:val="22"/>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b w:val="0"/>
                <w:bCs w:val="0"/>
                <w:color w:val="auto"/>
                <w:sz w:val="21"/>
                <w:szCs w:val="21"/>
                <w:highlight w:val="none"/>
                <w:vertAlign w:val="baseline"/>
                <w:lang w:val="en-GB" w:eastAsia="zh-CN"/>
              </w:rPr>
              <w:t>废燃料油</w:t>
            </w:r>
          </w:p>
        </w:tc>
        <w:tc>
          <w:tcPr>
            <w:tcW w:w="777"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color w:val="auto"/>
                <w:kern w:val="2"/>
                <w:sz w:val="21"/>
                <w:szCs w:val="22"/>
                <w:highlight w:val="none"/>
                <w:lang w:val="en-GB" w:eastAsia="zh-CN" w:bidi="ar-SA"/>
              </w:rPr>
            </w:pPr>
            <w:r>
              <w:rPr>
                <w:rFonts w:hint="default" w:ascii="Times New Roman" w:hAnsi="Times New Roman" w:eastAsia="宋体" w:cs="Times New Roman"/>
                <w:b w:val="0"/>
                <w:bCs w:val="0"/>
                <w:color w:val="auto"/>
                <w:sz w:val="21"/>
                <w:szCs w:val="21"/>
                <w:highlight w:val="none"/>
                <w:vertAlign w:val="baseline"/>
                <w:lang w:val="en-GB" w:eastAsia="zh-CN"/>
              </w:rPr>
              <w:t>预拆解</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lang w:val="en-GB" w:eastAsia="zh-CN"/>
              </w:rPr>
            </w:pPr>
            <w:r>
              <w:rPr>
                <w:rFonts w:hint="default" w:ascii="Times New Roman" w:hAnsi="Times New Roman" w:cs="Times New Roman"/>
                <w:color w:val="auto"/>
                <w:highlight w:val="none"/>
                <w:lang w:val="en-US" w:eastAsia="zh-CN"/>
              </w:rPr>
              <w:t xml:space="preserve">HW08 </w:t>
            </w:r>
            <w:r>
              <w:rPr>
                <w:rFonts w:hint="default" w:ascii="Times New Roman" w:hAnsi="Times New Roman" w:cs="Times New Roman"/>
                <w:color w:val="auto"/>
                <w:highlight w:val="none"/>
                <w:lang w:val="en-GB" w:eastAsia="zh-CN"/>
              </w:rPr>
              <w:t>900-214-08</w:t>
            </w:r>
          </w:p>
        </w:tc>
        <w:tc>
          <w:tcPr>
            <w:tcW w:w="614"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i w:val="0"/>
                <w:color w:val="auto"/>
                <w:kern w:val="0"/>
                <w:sz w:val="21"/>
                <w:szCs w:val="21"/>
                <w:highlight w:val="none"/>
                <w:u w:val="none"/>
                <w:lang w:val="en-US" w:eastAsia="zh-CN" w:bidi="ar"/>
              </w:rPr>
              <w:t>173</w:t>
            </w:r>
          </w:p>
        </w:tc>
        <w:tc>
          <w:tcPr>
            <w:tcW w:w="906" w:type="pct"/>
            <w:vMerge w:val="continue"/>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eastAsiaTheme="minorEastAsia"/>
                <w:color w:val="auto"/>
                <w:kern w:val="0"/>
                <w:sz w:val="21"/>
                <w:szCs w:val="22"/>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b w:val="0"/>
                <w:bCs w:val="0"/>
                <w:color w:val="auto"/>
                <w:sz w:val="21"/>
                <w:szCs w:val="21"/>
                <w:highlight w:val="none"/>
                <w:vertAlign w:val="baseline"/>
                <w:lang w:val="en-GB" w:eastAsia="zh-CN"/>
              </w:rPr>
              <w:t>废油液</w:t>
            </w:r>
          </w:p>
        </w:tc>
        <w:tc>
          <w:tcPr>
            <w:tcW w:w="777"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color w:val="auto"/>
                <w:kern w:val="2"/>
                <w:sz w:val="21"/>
                <w:szCs w:val="22"/>
                <w:highlight w:val="none"/>
                <w:lang w:val="en-GB" w:eastAsia="zh-CN" w:bidi="ar-SA"/>
              </w:rPr>
            </w:pPr>
            <w:r>
              <w:rPr>
                <w:rFonts w:hint="default" w:ascii="Times New Roman" w:hAnsi="Times New Roman" w:eastAsia="宋体" w:cs="Times New Roman"/>
                <w:b w:val="0"/>
                <w:bCs w:val="0"/>
                <w:color w:val="auto"/>
                <w:sz w:val="21"/>
                <w:szCs w:val="21"/>
                <w:highlight w:val="none"/>
                <w:vertAlign w:val="baseline"/>
                <w:lang w:val="en-GB" w:eastAsia="zh-CN"/>
              </w:rPr>
              <w:t>预拆解</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lang w:val="en-GB" w:eastAsia="zh-CN"/>
              </w:rPr>
            </w:pPr>
            <w:r>
              <w:rPr>
                <w:rFonts w:hint="default" w:ascii="Times New Roman" w:hAnsi="Times New Roman" w:cs="Times New Roman"/>
                <w:color w:val="auto"/>
                <w:highlight w:val="none"/>
                <w:lang w:val="en-US" w:eastAsia="zh-CN"/>
              </w:rPr>
              <w:t xml:space="preserve">HW08 </w:t>
            </w:r>
            <w:r>
              <w:rPr>
                <w:rFonts w:hint="default" w:ascii="Times New Roman" w:hAnsi="Times New Roman" w:cs="Times New Roman"/>
                <w:color w:val="auto"/>
                <w:highlight w:val="none"/>
                <w:lang w:val="en-GB" w:eastAsia="zh-CN"/>
              </w:rPr>
              <w:t>900-214-08</w:t>
            </w:r>
          </w:p>
        </w:tc>
        <w:tc>
          <w:tcPr>
            <w:tcW w:w="614"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i w:val="0"/>
                <w:color w:val="auto"/>
                <w:kern w:val="0"/>
                <w:sz w:val="21"/>
                <w:szCs w:val="21"/>
                <w:highlight w:val="none"/>
                <w:u w:val="none"/>
                <w:lang w:val="en-US" w:eastAsia="zh-CN" w:bidi="ar"/>
              </w:rPr>
              <w:t>1099.2</w:t>
            </w:r>
          </w:p>
        </w:tc>
        <w:tc>
          <w:tcPr>
            <w:tcW w:w="906" w:type="pct"/>
            <w:vMerge w:val="restart"/>
            <w:tcBorders>
              <w:tl2br w:val="nil"/>
              <w:tr2bl w:val="nil"/>
            </w:tcBorders>
            <w:noWrap w:val="0"/>
            <w:tcMar>
              <w:left w:w="0" w:type="dxa"/>
              <w:right w:w="0" w:type="dxa"/>
            </w:tcMar>
            <w:vAlign w:val="center"/>
          </w:tcPr>
          <w:p>
            <w:pPr>
              <w:pStyle w:val="7"/>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委托</w:t>
            </w:r>
            <w:r>
              <w:rPr>
                <w:rFonts w:hint="eastAsia" w:ascii="Times New Roman" w:hAnsi="Times New Roman" w:eastAsia="宋体" w:cs="Times New Roman"/>
                <w:color w:val="auto"/>
                <w:sz w:val="21"/>
                <w:szCs w:val="21"/>
                <w:highlight w:val="none"/>
                <w:vertAlign w:val="baseline"/>
                <w:lang w:eastAsia="zh-CN"/>
              </w:rPr>
              <w:t>宁波市北仑环保固废处置有限公司</w:t>
            </w:r>
            <w:r>
              <w:rPr>
                <w:rFonts w:hint="default" w:ascii="Times New Roman" w:hAnsi="Times New Roman" w:eastAsia="宋体" w:cs="Times New Roman"/>
                <w:color w:val="auto"/>
                <w:sz w:val="21"/>
                <w:szCs w:val="21"/>
                <w:highlight w:val="none"/>
                <w:vertAlign w:val="baseline"/>
                <w:lang w:eastAsia="zh-CN"/>
              </w:rPr>
              <w:t>处置</w:t>
            </w:r>
          </w:p>
          <w:p>
            <w:pPr>
              <w:pStyle w:val="7"/>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b w:val="0"/>
                <w:bCs w:val="0"/>
                <w:color w:val="auto"/>
                <w:sz w:val="21"/>
                <w:szCs w:val="21"/>
                <w:highlight w:val="none"/>
                <w:vertAlign w:val="baseline"/>
                <w:lang w:val="en-GB" w:eastAsia="zh-CN"/>
              </w:rPr>
              <w:t>废制冷剂</w:t>
            </w:r>
          </w:p>
        </w:tc>
        <w:tc>
          <w:tcPr>
            <w:tcW w:w="777"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color w:val="auto"/>
                <w:kern w:val="2"/>
                <w:sz w:val="21"/>
                <w:szCs w:val="22"/>
                <w:highlight w:val="none"/>
                <w:lang w:val="en-GB" w:eastAsia="zh-CN" w:bidi="ar-SA"/>
              </w:rPr>
            </w:pPr>
            <w:r>
              <w:rPr>
                <w:rFonts w:hint="default" w:ascii="Times New Roman" w:hAnsi="Times New Roman" w:eastAsia="宋体" w:cs="Times New Roman"/>
                <w:b w:val="0"/>
                <w:bCs w:val="0"/>
                <w:color w:val="auto"/>
                <w:sz w:val="21"/>
                <w:szCs w:val="21"/>
                <w:highlight w:val="none"/>
                <w:vertAlign w:val="baseline"/>
                <w:lang w:val="en-GB" w:eastAsia="zh-CN"/>
              </w:rPr>
              <w:t>预拆解</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GB" w:eastAsia="zh-CN"/>
              </w:rPr>
              <w:t>HW49</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val="en-GB" w:eastAsia="zh-CN"/>
              </w:rPr>
              <w:t>900-999-49</w:t>
            </w:r>
          </w:p>
        </w:tc>
        <w:tc>
          <w:tcPr>
            <w:tcW w:w="614"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i w:val="0"/>
                <w:color w:val="auto"/>
                <w:kern w:val="0"/>
                <w:sz w:val="21"/>
                <w:szCs w:val="21"/>
                <w:highlight w:val="none"/>
                <w:u w:val="none"/>
                <w:lang w:val="en-US" w:eastAsia="zh-CN" w:bidi="ar"/>
              </w:rPr>
              <w:t>15.4</w:t>
            </w:r>
          </w:p>
        </w:tc>
        <w:tc>
          <w:tcPr>
            <w:tcW w:w="906" w:type="pct"/>
            <w:vMerge w:val="continue"/>
            <w:tcBorders>
              <w:tl2br w:val="nil"/>
              <w:tr2bl w:val="nil"/>
            </w:tcBorders>
            <w:noWrap w:val="0"/>
            <w:tcMar>
              <w:left w:w="0" w:type="dxa"/>
              <w:right w:w="0" w:type="dxa"/>
            </w:tcMar>
            <w:vAlign w:val="center"/>
          </w:tcPr>
          <w:p>
            <w:pPr>
              <w:pStyle w:val="7"/>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b w:val="0"/>
                <w:bCs w:val="0"/>
                <w:color w:val="auto"/>
                <w:sz w:val="21"/>
                <w:szCs w:val="21"/>
                <w:highlight w:val="none"/>
                <w:vertAlign w:val="baseline"/>
                <w:lang w:val="en-GB" w:eastAsia="zh-CN"/>
              </w:rPr>
              <w:t>含汞含铅部件</w:t>
            </w:r>
          </w:p>
        </w:tc>
        <w:tc>
          <w:tcPr>
            <w:tcW w:w="777"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color w:val="auto"/>
                <w:kern w:val="2"/>
                <w:sz w:val="21"/>
                <w:szCs w:val="22"/>
                <w:highlight w:val="none"/>
                <w:lang w:val="en-GB" w:eastAsia="zh-CN" w:bidi="ar-SA"/>
              </w:rPr>
            </w:pPr>
            <w:r>
              <w:rPr>
                <w:rFonts w:hint="default" w:ascii="Times New Roman" w:hAnsi="Times New Roman" w:eastAsia="宋体" w:cs="Times New Roman"/>
                <w:b w:val="0"/>
                <w:bCs w:val="0"/>
                <w:color w:val="auto"/>
                <w:sz w:val="21"/>
                <w:szCs w:val="21"/>
                <w:highlight w:val="none"/>
                <w:vertAlign w:val="baseline"/>
                <w:lang w:val="en-GB" w:eastAsia="zh-CN"/>
              </w:rPr>
              <w:t>拆解</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lang w:val="en-GB" w:eastAsia="zh-CN"/>
              </w:rPr>
            </w:pPr>
            <w:r>
              <w:rPr>
                <w:rFonts w:hint="default" w:ascii="Times New Roman" w:hAnsi="Times New Roman" w:cs="Times New Roman"/>
                <w:color w:val="auto"/>
                <w:highlight w:val="none"/>
                <w:lang w:val="en-GB" w:eastAsia="zh-CN"/>
              </w:rPr>
              <w:t>HW49</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val="en-GB" w:eastAsia="zh-CN"/>
              </w:rPr>
              <w:t>900-044-49</w:t>
            </w:r>
          </w:p>
        </w:tc>
        <w:tc>
          <w:tcPr>
            <w:tcW w:w="614"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i w:val="0"/>
                <w:color w:val="auto"/>
                <w:kern w:val="0"/>
                <w:sz w:val="21"/>
                <w:szCs w:val="21"/>
                <w:highlight w:val="none"/>
                <w:u w:val="none"/>
                <w:lang w:val="en-US" w:eastAsia="zh-CN" w:bidi="ar"/>
              </w:rPr>
              <w:t>118</w:t>
            </w:r>
          </w:p>
        </w:tc>
        <w:tc>
          <w:tcPr>
            <w:tcW w:w="906" w:type="pct"/>
            <w:vMerge w:val="continue"/>
            <w:tcBorders>
              <w:tl2br w:val="nil"/>
              <w:tr2bl w:val="nil"/>
            </w:tcBorders>
            <w:noWrap w:val="0"/>
            <w:tcMar>
              <w:left w:w="0" w:type="dxa"/>
              <w:right w:w="0" w:type="dxa"/>
            </w:tcMar>
            <w:vAlign w:val="center"/>
          </w:tcPr>
          <w:p>
            <w:pPr>
              <w:pStyle w:val="7"/>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b w:val="0"/>
                <w:bCs w:val="0"/>
                <w:color w:val="auto"/>
                <w:sz w:val="21"/>
                <w:szCs w:val="21"/>
                <w:highlight w:val="none"/>
                <w:vertAlign w:val="baseline"/>
                <w:lang w:val="en-GB" w:eastAsia="zh-CN"/>
              </w:rPr>
              <w:t>废电路板</w:t>
            </w:r>
          </w:p>
        </w:tc>
        <w:tc>
          <w:tcPr>
            <w:tcW w:w="777"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color w:val="auto"/>
                <w:kern w:val="2"/>
                <w:sz w:val="21"/>
                <w:szCs w:val="22"/>
                <w:highlight w:val="none"/>
                <w:lang w:val="en-GB" w:eastAsia="zh-CN" w:bidi="ar-SA"/>
              </w:rPr>
            </w:pPr>
            <w:r>
              <w:rPr>
                <w:rFonts w:hint="default" w:ascii="Times New Roman" w:hAnsi="Times New Roman" w:eastAsia="宋体" w:cs="Times New Roman"/>
                <w:b w:val="0"/>
                <w:bCs w:val="0"/>
                <w:color w:val="auto"/>
                <w:sz w:val="21"/>
                <w:szCs w:val="21"/>
                <w:highlight w:val="none"/>
                <w:vertAlign w:val="baseline"/>
                <w:lang w:val="en-GB" w:eastAsia="zh-CN"/>
              </w:rPr>
              <w:t>拆解</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lang w:val="en-GB" w:eastAsia="zh-CN"/>
              </w:rPr>
            </w:pPr>
            <w:r>
              <w:rPr>
                <w:rFonts w:hint="default" w:ascii="Times New Roman" w:hAnsi="Times New Roman" w:cs="Times New Roman"/>
                <w:color w:val="auto"/>
                <w:highlight w:val="none"/>
                <w:lang w:val="en-GB" w:eastAsia="zh-CN"/>
              </w:rPr>
              <w:t>HW49</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val="en-GB" w:eastAsia="zh-CN"/>
              </w:rPr>
              <w:t>900-045-49</w:t>
            </w:r>
          </w:p>
        </w:tc>
        <w:tc>
          <w:tcPr>
            <w:tcW w:w="614"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cs="Times New Roman"/>
                <w:color w:val="auto"/>
                <w:highlight w:val="none"/>
              </w:rPr>
            </w:pPr>
            <w:r>
              <w:rPr>
                <w:rFonts w:hint="default" w:ascii="Times New Roman" w:hAnsi="Times New Roman" w:cs="Times New Roman"/>
                <w:i w:val="0"/>
                <w:color w:val="auto"/>
                <w:kern w:val="0"/>
                <w:sz w:val="21"/>
                <w:szCs w:val="21"/>
                <w:highlight w:val="none"/>
                <w:u w:val="none"/>
                <w:lang w:val="en-US" w:eastAsia="zh-CN" w:bidi="ar"/>
              </w:rPr>
              <w:t>90.2</w:t>
            </w:r>
          </w:p>
        </w:tc>
        <w:tc>
          <w:tcPr>
            <w:tcW w:w="906" w:type="pct"/>
            <w:vMerge w:val="continue"/>
            <w:tcBorders>
              <w:tl2br w:val="nil"/>
              <w:tr2bl w:val="nil"/>
            </w:tcBorders>
            <w:noWrap w:val="0"/>
            <w:tcMar>
              <w:left w:w="0" w:type="dxa"/>
              <w:right w:w="0" w:type="dxa"/>
            </w:tcMar>
            <w:vAlign w:val="center"/>
          </w:tcPr>
          <w:p>
            <w:pPr>
              <w:pStyle w:val="7"/>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rPr>
            </w:pPr>
            <w:r>
              <w:rPr>
                <w:rFonts w:hint="eastAsia" w:ascii="Times New Roman" w:hAnsi="Times New Roman" w:eastAsia="宋体" w:cs="Times New Roman"/>
                <w:b w:val="0"/>
                <w:bCs w:val="0"/>
                <w:color w:val="auto"/>
                <w:sz w:val="21"/>
                <w:szCs w:val="21"/>
                <w:highlight w:val="none"/>
                <w:vertAlign w:val="baseline"/>
                <w:lang w:val="en-GB" w:eastAsia="zh-CN"/>
              </w:rPr>
              <w:t>废动力蓄电池</w:t>
            </w:r>
          </w:p>
        </w:tc>
        <w:tc>
          <w:tcPr>
            <w:tcW w:w="777"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cs="Times New Roman" w:eastAsiaTheme="minorEastAsia"/>
                <w:color w:val="auto"/>
                <w:kern w:val="2"/>
                <w:sz w:val="21"/>
                <w:szCs w:val="22"/>
                <w:highlight w:val="none"/>
                <w:lang w:val="en-GB" w:eastAsia="zh-CN" w:bidi="ar-SA"/>
              </w:rPr>
            </w:pPr>
            <w:r>
              <w:rPr>
                <w:rFonts w:hint="default" w:ascii="Times New Roman" w:hAnsi="Times New Roman" w:eastAsia="宋体" w:cs="Times New Roman"/>
                <w:b w:val="0"/>
                <w:bCs w:val="0"/>
                <w:color w:val="auto"/>
                <w:sz w:val="21"/>
                <w:szCs w:val="21"/>
                <w:highlight w:val="none"/>
                <w:vertAlign w:val="baseline"/>
                <w:lang w:val="en-GB" w:eastAsia="zh-CN"/>
              </w:rPr>
              <w:t>预拆解</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GB" w:eastAsia="zh-CN"/>
              </w:rPr>
              <w:t>HW49</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val="en-GB" w:eastAsia="zh-CN"/>
              </w:rPr>
              <w:t>900-044-49</w:t>
            </w:r>
          </w:p>
        </w:tc>
        <w:tc>
          <w:tcPr>
            <w:tcW w:w="614"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cs="Times New Roman"/>
                <w:color w:val="auto"/>
                <w:highlight w:val="none"/>
                <w:lang w:val="en-US"/>
              </w:rPr>
            </w:pPr>
            <w:r>
              <w:rPr>
                <w:rFonts w:hint="eastAsia" w:ascii="Times New Roman" w:hAnsi="Times New Roman" w:eastAsia="宋体" w:cs="Times New Roman"/>
                <w:i w:val="0"/>
                <w:color w:val="auto"/>
                <w:kern w:val="0"/>
                <w:sz w:val="21"/>
                <w:szCs w:val="21"/>
                <w:highlight w:val="none"/>
                <w:u w:val="none"/>
                <w:lang w:val="en-US" w:eastAsia="zh-CN" w:bidi="ar"/>
              </w:rPr>
              <w:t>78</w:t>
            </w:r>
          </w:p>
        </w:tc>
        <w:tc>
          <w:tcPr>
            <w:tcW w:w="906" w:type="pct"/>
            <w:vMerge w:val="continue"/>
            <w:tcBorders>
              <w:tl2br w:val="nil"/>
              <w:tr2bl w:val="nil"/>
            </w:tcBorders>
            <w:noWrap w:val="0"/>
            <w:tcMar>
              <w:left w:w="0" w:type="dxa"/>
              <w:right w:w="0" w:type="dxa"/>
            </w:tcMar>
            <w:vAlign w:val="center"/>
          </w:tcPr>
          <w:p>
            <w:pPr>
              <w:pStyle w:val="7"/>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lang w:val="en-GB" w:eastAsia="zh-CN"/>
              </w:rPr>
            </w:pPr>
            <w:r>
              <w:rPr>
                <w:rFonts w:hint="eastAsia" w:ascii="Times New Roman" w:hAnsi="Times New Roman" w:eastAsia="宋体" w:cs="Times New Roman"/>
                <w:b w:val="0"/>
                <w:bCs w:val="0"/>
                <w:color w:val="auto"/>
                <w:sz w:val="21"/>
                <w:szCs w:val="21"/>
                <w:highlight w:val="none"/>
                <w:vertAlign w:val="baseline"/>
                <w:lang w:val="en-GB" w:eastAsia="zh-CN"/>
              </w:rPr>
              <w:t>废铅酸蓄电池</w:t>
            </w:r>
          </w:p>
        </w:tc>
        <w:tc>
          <w:tcPr>
            <w:tcW w:w="777"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b w:val="0"/>
                <w:bCs w:val="0"/>
                <w:color w:val="auto"/>
                <w:kern w:val="2"/>
                <w:sz w:val="21"/>
                <w:szCs w:val="21"/>
                <w:highlight w:val="none"/>
                <w:vertAlign w:val="baseline"/>
                <w:lang w:val="en-GB" w:eastAsia="zh-CN" w:bidi="ar-SA"/>
              </w:rPr>
            </w:pPr>
            <w:r>
              <w:rPr>
                <w:rFonts w:hint="default" w:ascii="Times New Roman" w:hAnsi="Times New Roman" w:eastAsia="宋体" w:cs="Times New Roman"/>
                <w:b w:val="0"/>
                <w:bCs w:val="0"/>
                <w:color w:val="auto"/>
                <w:sz w:val="21"/>
                <w:szCs w:val="21"/>
                <w:highlight w:val="none"/>
                <w:vertAlign w:val="baseline"/>
                <w:lang w:val="en-GB" w:eastAsia="zh-CN"/>
              </w:rPr>
              <w:t>预拆解</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lang w:val="en-GB" w:eastAsia="zh-CN"/>
              </w:rPr>
            </w:pPr>
            <w:r>
              <w:rPr>
                <w:rFonts w:hint="default" w:ascii="Times New Roman" w:hAnsi="Times New Roman" w:cs="Times New Roman"/>
                <w:color w:val="auto"/>
                <w:highlight w:val="none"/>
                <w:lang w:val="en-GB" w:eastAsia="zh-CN"/>
              </w:rPr>
              <w:t>HW49</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val="en-GB" w:eastAsia="zh-CN"/>
              </w:rPr>
              <w:t>900-044-49</w:t>
            </w:r>
          </w:p>
        </w:tc>
        <w:tc>
          <w:tcPr>
            <w:tcW w:w="614"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460</w:t>
            </w:r>
          </w:p>
        </w:tc>
        <w:tc>
          <w:tcPr>
            <w:tcW w:w="906" w:type="pct"/>
            <w:vMerge w:val="continue"/>
            <w:tcBorders>
              <w:tl2br w:val="nil"/>
              <w:tr2bl w:val="nil"/>
            </w:tcBorders>
            <w:noWrap w:val="0"/>
            <w:tcMar>
              <w:left w:w="0" w:type="dxa"/>
              <w:right w:w="0" w:type="dxa"/>
            </w:tcMar>
            <w:vAlign w:val="center"/>
          </w:tcPr>
          <w:p>
            <w:pPr>
              <w:pStyle w:val="7"/>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b w:val="0"/>
                <w:bCs w:val="0"/>
                <w:color w:val="auto"/>
                <w:sz w:val="21"/>
                <w:szCs w:val="21"/>
                <w:highlight w:val="none"/>
                <w:vertAlign w:val="baseline"/>
                <w:lang w:val="en-GB" w:eastAsia="zh-CN"/>
              </w:rPr>
              <w:t>废滤清器</w:t>
            </w:r>
          </w:p>
        </w:tc>
        <w:tc>
          <w:tcPr>
            <w:tcW w:w="777"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color w:val="auto"/>
                <w:kern w:val="2"/>
                <w:sz w:val="21"/>
                <w:szCs w:val="22"/>
                <w:highlight w:val="none"/>
                <w:lang w:val="en-GB" w:eastAsia="zh-CN" w:bidi="ar-SA"/>
              </w:rPr>
            </w:pPr>
            <w:r>
              <w:rPr>
                <w:rFonts w:hint="default" w:ascii="Times New Roman" w:hAnsi="Times New Roman" w:eastAsia="宋体" w:cs="Times New Roman"/>
                <w:b w:val="0"/>
                <w:bCs w:val="0"/>
                <w:color w:val="auto"/>
                <w:sz w:val="21"/>
                <w:szCs w:val="21"/>
                <w:highlight w:val="none"/>
                <w:vertAlign w:val="baseline"/>
                <w:lang w:val="en-GB" w:eastAsia="zh-CN"/>
              </w:rPr>
              <w:t>预拆解</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lang w:val="en-GB" w:eastAsia="zh-CN"/>
              </w:rPr>
            </w:pPr>
            <w:r>
              <w:rPr>
                <w:rFonts w:hint="default" w:ascii="Times New Roman" w:hAnsi="Times New Roman" w:cs="Times New Roman"/>
                <w:color w:val="auto"/>
                <w:highlight w:val="none"/>
                <w:lang w:val="en-GB" w:eastAsia="zh-CN"/>
              </w:rPr>
              <w:t>HW49</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val="en-GB" w:eastAsia="zh-CN"/>
              </w:rPr>
              <w:t>900-041-49</w:t>
            </w:r>
          </w:p>
        </w:tc>
        <w:tc>
          <w:tcPr>
            <w:tcW w:w="614"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i w:val="0"/>
                <w:color w:val="auto"/>
                <w:kern w:val="0"/>
                <w:sz w:val="21"/>
                <w:szCs w:val="21"/>
                <w:highlight w:val="none"/>
                <w:u w:val="none"/>
                <w:lang w:val="en-US" w:eastAsia="zh-CN" w:bidi="ar"/>
              </w:rPr>
              <w:t>14.4</w:t>
            </w:r>
          </w:p>
        </w:tc>
        <w:tc>
          <w:tcPr>
            <w:tcW w:w="906" w:type="pct"/>
            <w:vMerge w:val="continue"/>
            <w:tcBorders>
              <w:tl2br w:val="nil"/>
              <w:tr2bl w:val="nil"/>
            </w:tcBorders>
            <w:noWrap w:val="0"/>
            <w:tcMar>
              <w:left w:w="0" w:type="dxa"/>
              <w:right w:w="0" w:type="dxa"/>
            </w:tcMar>
            <w:vAlign w:val="center"/>
          </w:tcPr>
          <w:p>
            <w:pPr>
              <w:pStyle w:val="7"/>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b w:val="0"/>
                <w:bCs w:val="0"/>
                <w:color w:val="auto"/>
                <w:sz w:val="21"/>
                <w:szCs w:val="21"/>
                <w:highlight w:val="none"/>
                <w:vertAlign w:val="baseline"/>
                <w:lang w:val="en-GB" w:eastAsia="zh-CN"/>
              </w:rPr>
              <w:t>废催化系统</w:t>
            </w:r>
          </w:p>
        </w:tc>
        <w:tc>
          <w:tcPr>
            <w:tcW w:w="777"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color w:val="auto"/>
                <w:kern w:val="2"/>
                <w:sz w:val="21"/>
                <w:szCs w:val="22"/>
                <w:highlight w:val="none"/>
                <w:lang w:val="en-GB" w:eastAsia="zh-CN" w:bidi="ar-SA"/>
              </w:rPr>
            </w:pPr>
            <w:r>
              <w:rPr>
                <w:rFonts w:hint="default" w:ascii="Times New Roman" w:hAnsi="Times New Roman" w:eastAsia="宋体" w:cs="Times New Roman"/>
                <w:b w:val="0"/>
                <w:bCs w:val="0"/>
                <w:color w:val="auto"/>
                <w:sz w:val="21"/>
                <w:szCs w:val="21"/>
                <w:highlight w:val="none"/>
                <w:vertAlign w:val="baseline"/>
                <w:lang w:val="en-GB" w:eastAsia="zh-CN"/>
              </w:rPr>
              <w:t>预拆解</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GB" w:eastAsia="zh-CN"/>
              </w:rPr>
              <w:t>HW50</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val="en-GB" w:eastAsia="zh-CN"/>
              </w:rPr>
              <w:t>900-049-50</w:t>
            </w:r>
          </w:p>
        </w:tc>
        <w:tc>
          <w:tcPr>
            <w:tcW w:w="614"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i w:val="0"/>
                <w:color w:val="auto"/>
                <w:kern w:val="0"/>
                <w:sz w:val="21"/>
                <w:szCs w:val="21"/>
                <w:highlight w:val="none"/>
                <w:u w:val="none"/>
                <w:lang w:val="en-US" w:eastAsia="zh-CN" w:bidi="ar"/>
              </w:rPr>
              <w:t>81</w:t>
            </w:r>
          </w:p>
        </w:tc>
        <w:tc>
          <w:tcPr>
            <w:tcW w:w="906" w:type="pct"/>
            <w:vMerge w:val="continue"/>
            <w:tcBorders>
              <w:tl2br w:val="nil"/>
              <w:tr2bl w:val="nil"/>
            </w:tcBorders>
            <w:noWrap w:val="0"/>
            <w:tcMar>
              <w:left w:w="0" w:type="dxa"/>
              <w:right w:w="0" w:type="dxa"/>
            </w:tcMar>
            <w:vAlign w:val="center"/>
          </w:tcPr>
          <w:p>
            <w:pPr>
              <w:pStyle w:val="7"/>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b w:val="0"/>
                <w:bCs w:val="0"/>
                <w:color w:val="auto"/>
                <w:sz w:val="21"/>
                <w:szCs w:val="21"/>
                <w:highlight w:val="none"/>
                <w:vertAlign w:val="baseline"/>
                <w:lang w:val="en-GB" w:eastAsia="zh-CN"/>
              </w:rPr>
              <w:t>废</w:t>
            </w:r>
            <w:r>
              <w:rPr>
                <w:rFonts w:hint="default" w:ascii="Times New Roman" w:hAnsi="Times New Roman" w:eastAsia="宋体" w:cs="Times New Roman"/>
                <w:b w:val="0"/>
                <w:bCs w:val="0"/>
                <w:color w:val="auto"/>
                <w:sz w:val="21"/>
                <w:szCs w:val="21"/>
                <w:highlight w:val="none"/>
                <w:vertAlign w:val="baseline"/>
                <w:lang w:val="en-GB" w:eastAsia="zh-CN"/>
              </w:rPr>
              <w:t>密封胶</w:t>
            </w:r>
          </w:p>
        </w:tc>
        <w:tc>
          <w:tcPr>
            <w:tcW w:w="777"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color w:val="auto"/>
                <w:kern w:val="2"/>
                <w:sz w:val="21"/>
                <w:szCs w:val="22"/>
                <w:highlight w:val="none"/>
                <w:lang w:val="en-GB" w:eastAsia="zh-CN" w:bidi="ar-SA"/>
              </w:rPr>
            </w:pPr>
            <w:r>
              <w:rPr>
                <w:rFonts w:hint="default" w:ascii="Times New Roman" w:hAnsi="Times New Roman" w:eastAsia="宋体" w:cs="Times New Roman"/>
                <w:b w:val="0"/>
                <w:bCs w:val="0"/>
                <w:color w:val="auto"/>
                <w:sz w:val="21"/>
                <w:szCs w:val="21"/>
                <w:highlight w:val="none"/>
                <w:vertAlign w:val="baseline"/>
                <w:lang w:val="en-GB" w:eastAsia="zh-CN"/>
              </w:rPr>
              <w:t>拆解</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HW13 </w:t>
            </w:r>
            <w:r>
              <w:rPr>
                <w:rFonts w:hint="default" w:ascii="Times New Roman" w:hAnsi="Times New Roman" w:cs="Times New Roman"/>
                <w:color w:val="auto"/>
                <w:highlight w:val="none"/>
                <w:lang w:val="en-GB" w:eastAsia="zh-CN"/>
              </w:rPr>
              <w:t>900-014-1</w:t>
            </w:r>
            <w:r>
              <w:rPr>
                <w:rFonts w:hint="eastAsia" w:cs="Times New Roman"/>
                <w:color w:val="auto"/>
                <w:highlight w:val="none"/>
                <w:lang w:val="en-US" w:eastAsia="zh-CN"/>
              </w:rPr>
              <w:t>3</w:t>
            </w:r>
          </w:p>
        </w:tc>
        <w:tc>
          <w:tcPr>
            <w:tcW w:w="614"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i w:val="0"/>
                <w:color w:val="auto"/>
                <w:kern w:val="0"/>
                <w:sz w:val="21"/>
                <w:szCs w:val="21"/>
                <w:highlight w:val="none"/>
                <w:u w:val="none"/>
                <w:lang w:val="en-US" w:eastAsia="zh-CN" w:bidi="ar"/>
              </w:rPr>
              <w:t>19</w:t>
            </w:r>
          </w:p>
        </w:tc>
        <w:tc>
          <w:tcPr>
            <w:tcW w:w="906" w:type="pct"/>
            <w:vMerge w:val="continue"/>
            <w:tcBorders>
              <w:tl2br w:val="nil"/>
              <w:tr2bl w:val="nil"/>
            </w:tcBorders>
            <w:noWrap w:val="0"/>
            <w:tcMar>
              <w:left w:w="0" w:type="dxa"/>
              <w:right w:w="0" w:type="dxa"/>
            </w:tcMar>
            <w:vAlign w:val="center"/>
          </w:tcPr>
          <w:p>
            <w:pPr>
              <w:pStyle w:val="7"/>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b w:val="0"/>
                <w:bCs w:val="0"/>
                <w:color w:val="auto"/>
                <w:sz w:val="21"/>
                <w:szCs w:val="21"/>
                <w:highlight w:val="none"/>
                <w:vertAlign w:val="baseline"/>
                <w:lang w:val="en-GB" w:eastAsia="zh-CN"/>
              </w:rPr>
              <w:t>石棉废物</w:t>
            </w:r>
          </w:p>
        </w:tc>
        <w:tc>
          <w:tcPr>
            <w:tcW w:w="777"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eastAsiaTheme="minorEastAsia"/>
                <w:color w:val="auto"/>
                <w:kern w:val="0"/>
                <w:sz w:val="21"/>
                <w:szCs w:val="22"/>
                <w:highlight w:val="none"/>
                <w:lang w:val="en-GB" w:eastAsia="zh-CN" w:bidi="ar-SA"/>
              </w:rPr>
            </w:pPr>
            <w:r>
              <w:rPr>
                <w:rFonts w:hint="default" w:ascii="Times New Roman" w:hAnsi="Times New Roman" w:cs="Times New Roman"/>
                <w:color w:val="auto"/>
                <w:highlight w:val="none"/>
                <w:lang w:eastAsia="zh-CN"/>
              </w:rPr>
              <w:t>拆解</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lang w:val="en-GB" w:eastAsia="zh-CN"/>
              </w:rPr>
            </w:pPr>
            <w:r>
              <w:rPr>
                <w:rFonts w:hint="default" w:ascii="Times New Roman" w:hAnsi="Times New Roman" w:cs="Times New Roman"/>
                <w:color w:val="auto"/>
                <w:highlight w:val="none"/>
                <w:lang w:val="en-US" w:eastAsia="zh-CN"/>
              </w:rPr>
              <w:t xml:space="preserve">HW36 </w:t>
            </w:r>
            <w:r>
              <w:rPr>
                <w:rFonts w:hint="default" w:ascii="Times New Roman" w:hAnsi="Times New Roman" w:cs="Times New Roman"/>
                <w:color w:val="auto"/>
                <w:highlight w:val="none"/>
                <w:lang w:val="en-GB" w:eastAsia="zh-CN"/>
              </w:rPr>
              <w:t>900-032-36</w:t>
            </w:r>
          </w:p>
        </w:tc>
        <w:tc>
          <w:tcPr>
            <w:tcW w:w="614"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i w:val="0"/>
                <w:color w:val="auto"/>
                <w:kern w:val="0"/>
                <w:sz w:val="21"/>
                <w:szCs w:val="21"/>
                <w:highlight w:val="none"/>
                <w:u w:val="none"/>
                <w:lang w:val="en-US" w:eastAsia="zh-CN" w:bidi="ar"/>
              </w:rPr>
              <w:t>7.6</w:t>
            </w:r>
          </w:p>
        </w:tc>
        <w:tc>
          <w:tcPr>
            <w:tcW w:w="906" w:type="pct"/>
            <w:vMerge w:val="continue"/>
            <w:tcBorders>
              <w:tl2br w:val="nil"/>
              <w:tr2bl w:val="nil"/>
            </w:tcBorders>
            <w:noWrap w:val="0"/>
            <w:tcMar>
              <w:left w:w="0" w:type="dxa"/>
              <w:right w:w="0" w:type="dxa"/>
            </w:tcMar>
            <w:vAlign w:val="center"/>
          </w:tcPr>
          <w:p>
            <w:pPr>
              <w:pStyle w:val="7"/>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b w:val="0"/>
                <w:bCs w:val="0"/>
                <w:color w:val="auto"/>
                <w:sz w:val="21"/>
                <w:szCs w:val="21"/>
                <w:highlight w:val="none"/>
                <w:vertAlign w:val="baseline"/>
                <w:lang w:val="en-GB" w:eastAsia="zh-CN"/>
              </w:rPr>
              <w:t>废液化气罐</w:t>
            </w:r>
          </w:p>
        </w:tc>
        <w:tc>
          <w:tcPr>
            <w:tcW w:w="777"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eastAsiaTheme="minorEastAsia"/>
                <w:color w:val="auto"/>
                <w:kern w:val="0"/>
                <w:sz w:val="21"/>
                <w:szCs w:val="22"/>
                <w:highlight w:val="none"/>
                <w:lang w:val="en-GB" w:eastAsia="zh-CN" w:bidi="ar-SA"/>
              </w:rPr>
            </w:pPr>
            <w:r>
              <w:rPr>
                <w:rFonts w:hint="default" w:ascii="Times New Roman" w:hAnsi="Times New Roman" w:cs="Times New Roman"/>
                <w:color w:val="auto"/>
                <w:highlight w:val="none"/>
                <w:lang w:eastAsia="zh-CN"/>
              </w:rPr>
              <w:t>预拆解</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lang w:val="en-GB" w:eastAsia="zh-CN"/>
              </w:rPr>
            </w:pPr>
            <w:r>
              <w:rPr>
                <w:rFonts w:hint="default" w:ascii="Times New Roman" w:hAnsi="Times New Roman" w:cs="Times New Roman"/>
                <w:color w:val="auto"/>
                <w:highlight w:val="none"/>
                <w:lang w:val="en-GB" w:eastAsia="zh-CN"/>
              </w:rPr>
              <w:t>HW49</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val="en-GB" w:eastAsia="zh-CN"/>
              </w:rPr>
              <w:t>900-999-49</w:t>
            </w:r>
          </w:p>
        </w:tc>
        <w:tc>
          <w:tcPr>
            <w:tcW w:w="614" w:type="pct"/>
            <w:tcBorders>
              <w:tl2br w:val="nil"/>
              <w:tr2bl w:val="nil"/>
            </w:tcBorders>
            <w:noWrap w:val="0"/>
            <w:tcMar>
              <w:left w:w="0" w:type="dxa"/>
              <w:right w:w="0" w:type="dxa"/>
            </w:tcMar>
            <w:vAlign w:val="center"/>
          </w:tcPr>
          <w:p>
            <w:pPr>
              <w:pStyle w:val="29"/>
              <w:keepNext w:val="0"/>
              <w:keepLines w:val="0"/>
              <w:pageBreakBefore w:val="0"/>
              <w:kinsoku/>
              <w:wordWrap/>
              <w:overflowPunct/>
              <w:topLinePunct w:val="0"/>
              <w:bidi w:val="0"/>
              <w:snapToGrid/>
              <w:spacing w:line="360" w:lineRule="exact"/>
              <w:ind w:firstLine="0" w:firstLineChars="0"/>
              <w:jc w:val="center"/>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highlight w:val="none"/>
                <w:vertAlign w:val="baseline"/>
                <w:lang w:val="en-US" w:eastAsia="zh-CN"/>
              </w:rPr>
              <w:t>26</w:t>
            </w:r>
          </w:p>
        </w:tc>
        <w:tc>
          <w:tcPr>
            <w:tcW w:w="906" w:type="pct"/>
            <w:vMerge w:val="continue"/>
            <w:tcBorders>
              <w:tl2br w:val="nil"/>
              <w:tr2bl w:val="nil"/>
            </w:tcBorders>
            <w:noWrap w:val="0"/>
            <w:tcMar>
              <w:left w:w="0" w:type="dxa"/>
              <w:right w:w="0" w:type="dxa"/>
            </w:tcMar>
            <w:vAlign w:val="center"/>
          </w:tcPr>
          <w:p>
            <w:pPr>
              <w:pStyle w:val="7"/>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color w:val="auto"/>
                <w:kern w:val="2"/>
                <w:sz w:val="21"/>
                <w:szCs w:val="22"/>
                <w:highlight w:val="none"/>
                <w:lang w:val="en-US" w:eastAsia="zh-CN" w:bidi="ar-SA"/>
              </w:rPr>
            </w:pPr>
            <w:r>
              <w:rPr>
                <w:rFonts w:hint="default" w:ascii="Times New Roman" w:hAnsi="Times New Roman" w:cs="Times New Roman"/>
                <w:b w:val="0"/>
                <w:bCs w:val="0"/>
                <w:color w:val="auto"/>
                <w:sz w:val="21"/>
                <w:szCs w:val="21"/>
                <w:highlight w:val="none"/>
                <w:vertAlign w:val="baseline"/>
                <w:lang w:val="en-GB" w:eastAsia="zh-CN"/>
              </w:rPr>
              <w:t>废油泥</w:t>
            </w:r>
          </w:p>
        </w:tc>
        <w:tc>
          <w:tcPr>
            <w:tcW w:w="777"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eastAsiaTheme="minorEastAsia"/>
                <w:color w:val="auto"/>
                <w:kern w:val="0"/>
                <w:sz w:val="21"/>
                <w:szCs w:val="22"/>
                <w:highlight w:val="none"/>
                <w:lang w:val="en-GB" w:eastAsia="zh-CN" w:bidi="ar-SA"/>
              </w:rPr>
            </w:pPr>
            <w:r>
              <w:rPr>
                <w:rFonts w:hint="default" w:ascii="Times New Roman" w:hAnsi="Times New Roman" w:cs="Times New Roman"/>
                <w:color w:val="auto"/>
                <w:highlight w:val="none"/>
                <w:lang w:eastAsia="zh-CN"/>
              </w:rPr>
              <w:t>废水隔油</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eastAsiaTheme="minorEastAsia"/>
                <w:color w:val="auto"/>
                <w:kern w:val="0"/>
                <w:sz w:val="21"/>
                <w:szCs w:val="22"/>
                <w:highlight w:val="none"/>
                <w:lang w:val="en-US" w:eastAsia="zh-CN" w:bidi="ar-SA"/>
              </w:rPr>
            </w:pPr>
            <w:r>
              <w:rPr>
                <w:rFonts w:hint="default" w:ascii="Times New Roman" w:hAnsi="Times New Roman" w:cs="Times New Roman"/>
                <w:color w:val="auto"/>
                <w:highlight w:val="none"/>
              </w:rPr>
              <w:t>危险废物</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eastAsiaTheme="minorEastAsia"/>
                <w:color w:val="auto"/>
                <w:kern w:val="0"/>
                <w:sz w:val="21"/>
                <w:szCs w:val="22"/>
                <w:highlight w:val="none"/>
                <w:lang w:val="en-GB" w:eastAsia="zh-CN" w:bidi="ar-SA"/>
              </w:rPr>
            </w:pPr>
            <w:r>
              <w:rPr>
                <w:rFonts w:hint="default" w:ascii="Times New Roman" w:hAnsi="Times New Roman" w:cs="Times New Roman"/>
                <w:color w:val="auto"/>
                <w:highlight w:val="none"/>
                <w:lang w:val="en-GB" w:eastAsia="zh-CN"/>
              </w:rPr>
              <w:t>HW08</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lang w:val="en-GB" w:eastAsia="zh-CN"/>
              </w:rPr>
              <w:t>900-210-08</w:t>
            </w:r>
          </w:p>
        </w:tc>
        <w:tc>
          <w:tcPr>
            <w:tcW w:w="614"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eastAsiaTheme="minorEastAsia"/>
                <w:color w:val="auto"/>
                <w:kern w:val="0"/>
                <w:sz w:val="21"/>
                <w:szCs w:val="22"/>
                <w:highlight w:val="none"/>
                <w:lang w:val="en-US" w:eastAsia="zh-CN" w:bidi="ar-SA"/>
              </w:rPr>
            </w:pPr>
            <w:r>
              <w:rPr>
                <w:rFonts w:hint="default" w:ascii="Times New Roman" w:hAnsi="Times New Roman" w:cs="Times New Roman"/>
                <w:color w:val="auto"/>
                <w:highlight w:val="none"/>
                <w:lang w:val="en-US" w:eastAsia="zh-CN"/>
              </w:rPr>
              <w:t>3.2</w:t>
            </w:r>
          </w:p>
        </w:tc>
        <w:tc>
          <w:tcPr>
            <w:tcW w:w="906" w:type="pct"/>
            <w:vMerge w:val="continue"/>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eastAsiaTheme="minorEastAsia"/>
                <w:color w:val="auto"/>
                <w:kern w:val="0"/>
                <w:sz w:val="21"/>
                <w:szCs w:val="22"/>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color w:val="auto"/>
                <w:kern w:val="2"/>
                <w:sz w:val="21"/>
                <w:szCs w:val="22"/>
                <w:highlight w:val="none"/>
                <w:lang w:val="en-US" w:eastAsia="zh-CN" w:bidi="ar-SA"/>
              </w:rPr>
            </w:pPr>
            <w:r>
              <w:rPr>
                <w:rFonts w:hint="default" w:ascii="Times New Roman" w:hAnsi="Times New Roman" w:cs="Times New Roman"/>
                <w:b w:val="0"/>
                <w:bCs w:val="0"/>
                <w:color w:val="auto"/>
                <w:sz w:val="21"/>
                <w:szCs w:val="21"/>
                <w:highlight w:val="none"/>
                <w:vertAlign w:val="baseline"/>
                <w:lang w:val="en-GB" w:eastAsia="zh-CN"/>
              </w:rPr>
              <w:t>废劳保用品</w:t>
            </w:r>
          </w:p>
        </w:tc>
        <w:tc>
          <w:tcPr>
            <w:tcW w:w="777"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eastAsiaTheme="minorEastAsia"/>
                <w:color w:val="auto"/>
                <w:kern w:val="0"/>
                <w:sz w:val="21"/>
                <w:szCs w:val="22"/>
                <w:highlight w:val="none"/>
                <w:lang w:val="en-GB" w:eastAsia="zh-CN" w:bidi="ar-SA"/>
              </w:rPr>
            </w:pPr>
            <w:r>
              <w:rPr>
                <w:rFonts w:hint="default" w:ascii="Times New Roman" w:hAnsi="Times New Roman" w:cs="Times New Roman"/>
                <w:color w:val="auto"/>
                <w:highlight w:val="none"/>
                <w:lang w:eastAsia="zh-CN"/>
              </w:rPr>
              <w:t>员工清洁</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eastAsiaTheme="minorEastAsia"/>
                <w:color w:val="auto"/>
                <w:kern w:val="0"/>
                <w:sz w:val="21"/>
                <w:szCs w:val="22"/>
                <w:highlight w:val="none"/>
                <w:lang w:val="en-US" w:eastAsia="zh-CN" w:bidi="ar-SA"/>
              </w:rPr>
            </w:pPr>
            <w:r>
              <w:rPr>
                <w:rFonts w:hint="default" w:ascii="Times New Roman" w:hAnsi="Times New Roman" w:cs="Times New Roman"/>
                <w:color w:val="auto"/>
                <w:highlight w:val="none"/>
              </w:rPr>
              <w:t>危险废物</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eastAsiaTheme="minorEastAsia"/>
                <w:color w:val="auto"/>
                <w:kern w:val="0"/>
                <w:sz w:val="21"/>
                <w:szCs w:val="22"/>
                <w:highlight w:val="none"/>
                <w:lang w:val="en-GB" w:eastAsia="zh-CN" w:bidi="ar-SA"/>
              </w:rPr>
            </w:pPr>
            <w:r>
              <w:rPr>
                <w:rFonts w:hint="default" w:ascii="Times New Roman" w:hAnsi="Times New Roman" w:cs="Times New Roman"/>
                <w:color w:val="auto"/>
                <w:highlight w:val="none"/>
                <w:lang w:val="en-GB" w:eastAsia="zh-CN"/>
              </w:rPr>
              <w:t>HW49</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val="en-GB" w:eastAsia="zh-CN"/>
              </w:rPr>
              <w:t>900-041-49</w:t>
            </w:r>
          </w:p>
        </w:tc>
        <w:tc>
          <w:tcPr>
            <w:tcW w:w="614"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eastAsiaTheme="minorEastAsia"/>
                <w:color w:val="auto"/>
                <w:kern w:val="0"/>
                <w:sz w:val="21"/>
                <w:szCs w:val="22"/>
                <w:highlight w:val="none"/>
                <w:lang w:val="en-US" w:eastAsia="zh-CN" w:bidi="ar-SA"/>
              </w:rPr>
            </w:pPr>
            <w:r>
              <w:rPr>
                <w:rFonts w:hint="default" w:ascii="Times New Roman" w:hAnsi="Times New Roman" w:cs="Times New Roman"/>
                <w:color w:val="auto"/>
                <w:highlight w:val="none"/>
                <w:lang w:val="en-US" w:eastAsia="zh-CN"/>
              </w:rPr>
              <w:t>0.75</w:t>
            </w:r>
          </w:p>
        </w:tc>
        <w:tc>
          <w:tcPr>
            <w:tcW w:w="906" w:type="pct"/>
            <w:vMerge w:val="continue"/>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eastAsiaTheme="minorEastAsia"/>
                <w:color w:val="auto"/>
                <w:kern w:val="0"/>
                <w:sz w:val="21"/>
                <w:szCs w:val="22"/>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b w:val="0"/>
                <w:bCs w:val="0"/>
                <w:color w:val="auto"/>
                <w:sz w:val="21"/>
                <w:szCs w:val="21"/>
                <w:highlight w:val="none"/>
                <w:vertAlign w:val="baseline"/>
                <w:lang w:val="en-GB" w:eastAsia="zh-CN"/>
              </w:rPr>
              <w:t>生活垃圾</w:t>
            </w:r>
          </w:p>
        </w:tc>
        <w:tc>
          <w:tcPr>
            <w:tcW w:w="777"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eastAsiaTheme="minorEastAsia"/>
                <w:color w:val="auto"/>
                <w:kern w:val="0"/>
                <w:sz w:val="21"/>
                <w:szCs w:val="22"/>
                <w:highlight w:val="none"/>
                <w:lang w:val="en-GB" w:eastAsia="zh-CN" w:bidi="ar-SA"/>
              </w:rPr>
            </w:pPr>
            <w:r>
              <w:rPr>
                <w:rFonts w:hint="default" w:ascii="Times New Roman" w:hAnsi="Times New Roman" w:cs="Times New Roman"/>
                <w:color w:val="auto"/>
                <w:highlight w:val="none"/>
                <w:lang w:eastAsia="zh-CN"/>
              </w:rPr>
              <w:t>员工生活</w:t>
            </w:r>
          </w:p>
        </w:tc>
        <w:tc>
          <w:tcPr>
            <w:tcW w:w="580"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一般固废</w:t>
            </w:r>
          </w:p>
        </w:tc>
        <w:tc>
          <w:tcPr>
            <w:tcW w:w="1076"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lang w:val="en-GB" w:eastAsia="zh-CN"/>
              </w:rPr>
            </w:pPr>
            <w:r>
              <w:rPr>
                <w:rFonts w:hint="default" w:ascii="Times New Roman" w:hAnsi="Times New Roman" w:cs="Times New Roman"/>
                <w:color w:val="auto"/>
                <w:highlight w:val="none"/>
                <w:lang w:val="en-GB" w:eastAsia="zh-CN"/>
              </w:rPr>
              <w:t>/</w:t>
            </w:r>
          </w:p>
        </w:tc>
        <w:tc>
          <w:tcPr>
            <w:tcW w:w="614" w:type="pct"/>
            <w:tcBorders>
              <w:tl2br w:val="nil"/>
              <w:tr2bl w:val="nil"/>
            </w:tcBorders>
            <w:noWrap w:val="0"/>
            <w:tcMar>
              <w:left w:w="0" w:type="dxa"/>
              <w:right w:w="0" w:type="dxa"/>
            </w:tcMar>
            <w:vAlign w:val="center"/>
          </w:tcPr>
          <w:p>
            <w:pPr>
              <w:pStyle w:val="7"/>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12</w:t>
            </w:r>
          </w:p>
        </w:tc>
        <w:tc>
          <w:tcPr>
            <w:tcW w:w="906" w:type="pct"/>
            <w:tcBorders>
              <w:tl2br w:val="nil"/>
              <w:tr2bl w:val="nil"/>
            </w:tcBorders>
            <w:noWrap w:val="0"/>
            <w:tcMar>
              <w:left w:w="0" w:type="dxa"/>
              <w:right w:w="0" w:type="dxa"/>
            </w:tcMar>
            <w:vAlign w:val="center"/>
          </w:tcPr>
          <w:p>
            <w:pPr>
              <w:pStyle w:val="7"/>
              <w:rPr>
                <w:rFonts w:hint="default" w:ascii="Times New Roman" w:hAnsi="Times New Roman" w:cs="Times New Roman"/>
                <w:color w:val="auto"/>
                <w:highlight w:val="none"/>
              </w:rPr>
            </w:pPr>
            <w:r>
              <w:rPr>
                <w:rFonts w:hint="default" w:ascii="Times New Roman" w:hAnsi="Times New Roman" w:cs="Times New Roman"/>
                <w:color w:val="auto"/>
                <w:highlight w:val="none"/>
              </w:rPr>
              <w:t>环卫部门</w:t>
            </w:r>
          </w:p>
          <w:p>
            <w:pPr>
              <w:pStyle w:val="7"/>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统一处理</w:t>
            </w:r>
          </w:p>
        </w:tc>
      </w:tr>
    </w:tbl>
    <w:p>
      <w:pPr>
        <w:rPr>
          <w:rFonts w:ascii="Times New Roman" w:hAnsi="Times New Roman" w:cs="Times New Roman" w:eastAsiaTheme="minorEastAsia"/>
          <w:color w:val="auto"/>
          <w:sz w:val="24"/>
          <w:szCs w:val="24"/>
          <w:highlight w:val="none"/>
        </w:rPr>
      </w:pPr>
      <w:r>
        <w:rPr>
          <w:rFonts w:ascii="Times New Roman" w:hAnsi="Times New Roman" w:cs="Times New Roman" w:eastAsiaTheme="minorEastAsia"/>
          <w:color w:val="auto"/>
          <w:sz w:val="24"/>
          <w:szCs w:val="24"/>
          <w:highlight w:val="none"/>
        </w:rPr>
        <w:br w:type="page"/>
      </w:r>
    </w:p>
    <w:p>
      <w:pPr>
        <w:pStyle w:val="4"/>
        <w:spacing w:line="240" w:lineRule="auto"/>
        <w:rPr>
          <w:rFonts w:ascii="Times New Roman" w:hAnsi="Times New Roman" w:cs="Times New Roman" w:eastAsiaTheme="minorEastAsia"/>
          <w:color w:val="auto"/>
          <w:sz w:val="24"/>
          <w:szCs w:val="24"/>
          <w:highlight w:val="none"/>
        </w:rPr>
      </w:pPr>
      <w:bookmarkStart w:id="27" w:name="_Toc23369"/>
      <w:r>
        <w:rPr>
          <w:rFonts w:ascii="Times New Roman" w:hAnsi="Times New Roman" w:cs="Times New Roman" w:eastAsiaTheme="minorEastAsia"/>
          <w:color w:val="auto"/>
          <w:sz w:val="24"/>
          <w:szCs w:val="24"/>
          <w:highlight w:val="none"/>
        </w:rPr>
        <w:t>4.2环保设施投资及三同时落实情况</w:t>
      </w:r>
      <w:bookmarkEnd w:id="27"/>
    </w:p>
    <w:p>
      <w:pPr>
        <w:spacing w:line="360" w:lineRule="auto"/>
        <w:rPr>
          <w:rFonts w:ascii="Times New Roman" w:hAnsi="Times New Roman" w:cs="Times New Roman"/>
          <w:color w:val="auto"/>
          <w:highlight w:val="none"/>
        </w:rPr>
      </w:pPr>
      <w:r>
        <w:rPr>
          <w:rFonts w:ascii="Times New Roman" w:hAnsi="Times New Roman" w:cs="Times New Roman"/>
          <w:b/>
          <w:color w:val="auto"/>
          <w:sz w:val="24"/>
          <w:szCs w:val="24"/>
          <w:highlight w:val="none"/>
        </w:rPr>
        <w:t>4.2.1环保实际投资情况</w:t>
      </w:r>
    </w:p>
    <w:p>
      <w:pPr>
        <w:spacing w:line="360" w:lineRule="auto"/>
        <w:ind w:firstLine="480" w:firstLineChars="200"/>
        <w:rPr>
          <w:rFonts w:ascii="Times New Roman" w:hAnsi="Times New Roman" w:cs="Times New Roman"/>
          <w:b/>
          <w:bCs/>
          <w:color w:val="auto"/>
          <w:sz w:val="24"/>
          <w:highlight w:val="none"/>
        </w:rPr>
      </w:pPr>
      <w:r>
        <w:rPr>
          <w:rFonts w:ascii="Times New Roman" w:hAnsi="Times New Roman" w:cs="Times New Roman"/>
          <w:color w:val="auto"/>
          <w:sz w:val="24"/>
          <w:highlight w:val="none"/>
        </w:rPr>
        <w:t>项目环保投资见表4-5，实际投资</w:t>
      </w:r>
      <w:r>
        <w:rPr>
          <w:rFonts w:hint="eastAsia" w:ascii="Times New Roman" w:hAnsi="Times New Roman" w:cs="Times New Roman"/>
          <w:color w:val="auto"/>
          <w:sz w:val="24"/>
          <w:highlight w:val="none"/>
          <w:lang w:val="en-US" w:eastAsia="zh-CN"/>
        </w:rPr>
        <w:t>1500</w:t>
      </w:r>
      <w:r>
        <w:rPr>
          <w:rFonts w:ascii="Times New Roman" w:hAnsi="Times New Roman" w:cs="Times New Roman"/>
          <w:color w:val="auto"/>
          <w:sz w:val="24"/>
          <w:highlight w:val="none"/>
        </w:rPr>
        <w:t>万元，其中环保投资</w:t>
      </w:r>
      <w:r>
        <w:rPr>
          <w:rFonts w:hint="eastAsia" w:ascii="Times New Roman" w:hAnsi="Times New Roman" w:cs="Times New Roman"/>
          <w:color w:val="auto"/>
          <w:sz w:val="24"/>
          <w:highlight w:val="none"/>
          <w:lang w:val="en-US" w:eastAsia="zh-CN"/>
        </w:rPr>
        <w:t>180</w:t>
      </w:r>
      <w:r>
        <w:rPr>
          <w:rFonts w:ascii="Times New Roman" w:hAnsi="Times New Roman" w:cs="Times New Roman"/>
          <w:color w:val="auto"/>
          <w:sz w:val="24"/>
          <w:highlight w:val="none"/>
        </w:rPr>
        <w:t>万元。</w:t>
      </w:r>
    </w:p>
    <w:p>
      <w:pPr>
        <w:spacing w:line="360" w:lineRule="auto"/>
        <w:jc w:val="center"/>
        <w:rPr>
          <w:rFonts w:ascii="Times New Roman" w:hAnsi="Times New Roman" w:cs="Times New Roman"/>
          <w:b/>
          <w:bCs/>
          <w:color w:val="auto"/>
          <w:sz w:val="24"/>
          <w:highlight w:val="none"/>
        </w:rPr>
      </w:pPr>
      <w:r>
        <w:rPr>
          <w:rFonts w:ascii="Times New Roman" w:hAnsi="Times New Roman" w:cs="Times New Roman"/>
          <w:b/>
          <w:bCs/>
          <w:color w:val="auto"/>
          <w:sz w:val="24"/>
          <w:highlight w:val="none"/>
        </w:rPr>
        <w:t>表4-5环境保护投资表</w:t>
      </w:r>
    </w:p>
    <w:tbl>
      <w:tblPr>
        <w:tblStyle w:val="23"/>
        <w:tblW w:w="851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6"/>
        <w:gridCol w:w="1261"/>
        <w:gridCol w:w="3479"/>
        <w:gridCol w:w="25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dxa"/>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序号</w:t>
            </w:r>
          </w:p>
        </w:tc>
        <w:tc>
          <w:tcPr>
            <w:tcW w:w="1261" w:type="dxa"/>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类别</w:t>
            </w:r>
          </w:p>
        </w:tc>
        <w:tc>
          <w:tcPr>
            <w:tcW w:w="3479" w:type="dxa"/>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内容</w:t>
            </w:r>
          </w:p>
        </w:tc>
        <w:tc>
          <w:tcPr>
            <w:tcW w:w="2560" w:type="dxa"/>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实际环保投资（万元）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1</w:t>
            </w:r>
          </w:p>
        </w:tc>
        <w:tc>
          <w:tcPr>
            <w:tcW w:w="1261"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废水</w:t>
            </w:r>
          </w:p>
        </w:tc>
        <w:tc>
          <w:tcPr>
            <w:tcW w:w="3479"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化粪池等</w:t>
            </w:r>
          </w:p>
        </w:tc>
        <w:tc>
          <w:tcPr>
            <w:tcW w:w="2560" w:type="dxa"/>
            <w:tcBorders>
              <w:tl2br w:val="nil"/>
              <w:tr2bl w:val="nil"/>
            </w:tcBorders>
            <w:vAlign w:val="center"/>
          </w:tcPr>
          <w:p>
            <w:pPr>
              <w:jc w:val="center"/>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2</w:t>
            </w:r>
          </w:p>
        </w:tc>
        <w:tc>
          <w:tcPr>
            <w:tcW w:w="1261"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废气</w:t>
            </w:r>
          </w:p>
        </w:tc>
        <w:tc>
          <w:tcPr>
            <w:tcW w:w="3479" w:type="dxa"/>
            <w:tcBorders>
              <w:tl2br w:val="nil"/>
              <w:tr2bl w:val="nil"/>
            </w:tcBorders>
            <w:vAlign w:val="center"/>
          </w:tcPr>
          <w:p>
            <w:pPr>
              <w:rPr>
                <w:rFonts w:ascii="Times New Roman" w:hAnsi="Times New Roman" w:cs="Times New Roman"/>
                <w:color w:val="auto"/>
                <w:szCs w:val="21"/>
                <w:highlight w:val="none"/>
              </w:rPr>
            </w:pPr>
            <w:r>
              <w:rPr>
                <w:rFonts w:ascii="Times New Roman" w:hAnsi="Times New Roman" w:cs="Times New Roman"/>
                <w:color w:val="auto"/>
                <w:szCs w:val="21"/>
                <w:highlight w:val="none"/>
              </w:rPr>
              <w:t>废气处理设施</w:t>
            </w:r>
            <w:r>
              <w:rPr>
                <w:rFonts w:hint="eastAsia" w:ascii="Times New Roman" w:hAnsi="Times New Roman" w:cs="Times New Roman"/>
                <w:color w:val="auto"/>
                <w:szCs w:val="21"/>
                <w:highlight w:val="none"/>
                <w:lang w:eastAsia="zh-CN"/>
              </w:rPr>
              <w:t>、加强车间排风</w:t>
            </w:r>
            <w:r>
              <w:rPr>
                <w:rFonts w:ascii="Times New Roman" w:hAnsi="Times New Roman" w:cs="Times New Roman"/>
                <w:color w:val="auto"/>
                <w:szCs w:val="21"/>
                <w:highlight w:val="none"/>
              </w:rPr>
              <w:t>等</w:t>
            </w:r>
          </w:p>
        </w:tc>
        <w:tc>
          <w:tcPr>
            <w:tcW w:w="2560" w:type="dxa"/>
            <w:tcBorders>
              <w:tl2br w:val="nil"/>
              <w:tr2bl w:val="nil"/>
            </w:tcBorders>
            <w:vAlign w:val="center"/>
          </w:tcPr>
          <w:p>
            <w:pPr>
              <w:jc w:val="center"/>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3</w:t>
            </w:r>
          </w:p>
        </w:tc>
        <w:tc>
          <w:tcPr>
            <w:tcW w:w="1261"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噪声</w:t>
            </w:r>
          </w:p>
        </w:tc>
        <w:tc>
          <w:tcPr>
            <w:tcW w:w="3479"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降噪设施、隔振措施等</w:t>
            </w:r>
          </w:p>
        </w:tc>
        <w:tc>
          <w:tcPr>
            <w:tcW w:w="2560" w:type="dxa"/>
            <w:tcBorders>
              <w:tl2br w:val="nil"/>
              <w:tr2bl w:val="nil"/>
            </w:tcBorders>
            <w:vAlign w:val="center"/>
          </w:tcPr>
          <w:p>
            <w:pPr>
              <w:jc w:val="center"/>
              <w:rPr>
                <w:rFonts w:hint="eastAsia"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dxa"/>
            <w:tcBorders>
              <w:tl2br w:val="nil"/>
              <w:tr2bl w:val="nil"/>
            </w:tcBorders>
            <w:vAlign w:val="center"/>
          </w:tcPr>
          <w:p>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4</w:t>
            </w:r>
          </w:p>
        </w:tc>
        <w:tc>
          <w:tcPr>
            <w:tcW w:w="1261" w:type="dxa"/>
            <w:tcBorders>
              <w:tl2br w:val="nil"/>
              <w:tr2bl w:val="nil"/>
            </w:tcBorders>
            <w:vAlign w:val="center"/>
          </w:tcPr>
          <w:p>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固废</w:t>
            </w:r>
          </w:p>
        </w:tc>
        <w:tc>
          <w:tcPr>
            <w:tcW w:w="3479" w:type="dxa"/>
            <w:tcBorders>
              <w:tl2br w:val="nil"/>
              <w:tr2bl w:val="nil"/>
            </w:tcBorders>
            <w:vAlign w:val="center"/>
          </w:tcPr>
          <w:p>
            <w:pPr>
              <w:jc w:val="center"/>
              <w:rPr>
                <w:rFonts w:ascii="Times New Roman" w:hAnsi="Times New Roman" w:cs="Times New Roman"/>
                <w:color w:val="auto"/>
                <w:szCs w:val="21"/>
                <w:highlight w:val="none"/>
              </w:rPr>
            </w:pPr>
            <w:r>
              <w:rPr>
                <w:rFonts w:cs="Arial"/>
                <w:color w:val="auto"/>
                <w:szCs w:val="21"/>
                <w:highlight w:val="none"/>
              </w:rPr>
              <w:t>固废分类收集、贮存、垃圾箱</w:t>
            </w:r>
          </w:p>
        </w:tc>
        <w:tc>
          <w:tcPr>
            <w:tcW w:w="2560" w:type="dxa"/>
            <w:tcBorders>
              <w:tl2br w:val="nil"/>
              <w:tr2bl w:val="nil"/>
            </w:tcBorders>
            <w:vAlign w:val="center"/>
          </w:tcPr>
          <w:p>
            <w:pPr>
              <w:jc w:val="center"/>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dxa"/>
            <w:tcBorders>
              <w:tl2br w:val="nil"/>
              <w:tr2bl w:val="nil"/>
            </w:tcBorders>
            <w:vAlign w:val="center"/>
          </w:tcPr>
          <w:p>
            <w:pPr>
              <w:jc w:val="center"/>
              <w:rPr>
                <w:rFonts w:hint="eastAsia"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5</w:t>
            </w:r>
          </w:p>
        </w:tc>
        <w:tc>
          <w:tcPr>
            <w:tcW w:w="1261" w:type="dxa"/>
            <w:tcBorders>
              <w:tl2br w:val="nil"/>
              <w:tr2bl w:val="nil"/>
            </w:tcBorders>
            <w:vAlign w:val="center"/>
          </w:tcPr>
          <w:p>
            <w:pPr>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cs="Times New Roman"/>
                <w:color w:val="auto"/>
                <w:szCs w:val="21"/>
                <w:highlight w:val="none"/>
                <w:lang w:eastAsia="zh-CN"/>
              </w:rPr>
              <w:t>其他</w:t>
            </w:r>
          </w:p>
        </w:tc>
        <w:tc>
          <w:tcPr>
            <w:tcW w:w="3479" w:type="dxa"/>
            <w:tcBorders>
              <w:tl2br w:val="nil"/>
              <w:tr2bl w:val="nil"/>
            </w:tcBorders>
            <w:vAlign w:val="center"/>
          </w:tcPr>
          <w:p>
            <w:pPr>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cs="Times New Roman"/>
                <w:color w:val="auto"/>
                <w:szCs w:val="21"/>
                <w:highlight w:val="none"/>
                <w:lang w:eastAsia="zh-CN"/>
              </w:rPr>
              <w:t>地面防腐、防漏、设置明沟</w:t>
            </w:r>
          </w:p>
        </w:tc>
        <w:tc>
          <w:tcPr>
            <w:tcW w:w="2560" w:type="dxa"/>
            <w:tcBorders>
              <w:tl2br w:val="nil"/>
              <w:tr2bl w:val="nil"/>
            </w:tcBorders>
            <w:vAlign w:val="center"/>
          </w:tcPr>
          <w:p>
            <w:pPr>
              <w:jc w:val="center"/>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102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dxa"/>
            <w:tcBorders>
              <w:tl2br w:val="nil"/>
              <w:tr2bl w:val="nil"/>
            </w:tcBorders>
            <w:vAlign w:val="center"/>
          </w:tcPr>
          <w:p>
            <w:pPr>
              <w:jc w:val="center"/>
              <w:rPr>
                <w:rFonts w:hint="eastAsia" w:ascii="Times New Roman" w:hAnsi="Times New Roman" w:cs="Times New Roman" w:eastAsiaTheme="minorEastAsia"/>
                <w:color w:val="auto"/>
                <w:szCs w:val="21"/>
                <w:highlight w:val="none"/>
                <w:lang w:val="en-US" w:eastAsia="zh-CN"/>
              </w:rPr>
            </w:pPr>
            <w:r>
              <w:rPr>
                <w:rFonts w:ascii="Times New Roman" w:hAnsi="Times New Roman" w:cs="Times New Roman"/>
                <w:color w:val="auto"/>
                <w:szCs w:val="21"/>
                <w:highlight w:val="none"/>
              </w:rPr>
              <w:t>合计</w:t>
            </w:r>
          </w:p>
        </w:tc>
        <w:tc>
          <w:tcPr>
            <w:tcW w:w="1261"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479"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2560" w:type="dxa"/>
            <w:tcBorders>
              <w:tl2br w:val="nil"/>
              <w:tr2bl w:val="nil"/>
            </w:tcBorders>
            <w:vAlign w:val="center"/>
          </w:tcPr>
          <w:p>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180</w:t>
            </w:r>
          </w:p>
        </w:tc>
      </w:tr>
    </w:tbl>
    <w:p>
      <w:pPr>
        <w:spacing w:line="360" w:lineRule="auto"/>
        <w:rPr>
          <w:rFonts w:ascii="Times New Roman" w:hAnsi="Times New Roman" w:cs="Times New Roman"/>
          <w:b/>
          <w:color w:val="auto"/>
          <w:sz w:val="24"/>
          <w:szCs w:val="24"/>
          <w:highlight w:val="none"/>
        </w:rPr>
      </w:pPr>
      <w:r>
        <w:rPr>
          <w:rFonts w:ascii="Times New Roman" w:hAnsi="Times New Roman" w:cs="Times New Roman"/>
          <w:b/>
          <w:color w:val="auto"/>
          <w:sz w:val="24"/>
          <w:szCs w:val="24"/>
          <w:highlight w:val="none"/>
        </w:rPr>
        <w:t>4.2.2 “三同时”落实情况</w:t>
      </w:r>
    </w:p>
    <w:p>
      <w:pPr>
        <w:pStyle w:val="54"/>
        <w:rPr>
          <w:rFonts w:ascii="Times New Roman" w:hAnsi="Times New Roman" w:cs="Times New Roman"/>
          <w:color w:val="auto"/>
          <w:highlight w:val="none"/>
        </w:rPr>
      </w:pPr>
      <w:bookmarkStart w:id="28" w:name="_Toc382398975"/>
      <w:bookmarkStart w:id="29" w:name="_Toc383083628"/>
      <w:bookmarkStart w:id="30" w:name="_Toc28435"/>
      <w:bookmarkStart w:id="31" w:name="_Toc9298"/>
      <w:bookmarkStart w:id="32" w:name="_Toc1340"/>
      <w:r>
        <w:rPr>
          <w:rFonts w:ascii="Times New Roman" w:hAnsi="Times New Roman" w:cs="Times New Roman"/>
          <w:color w:val="auto"/>
          <w:highlight w:val="none"/>
        </w:rPr>
        <w:t>环评与实际情况对比详见表4-6。</w:t>
      </w:r>
    </w:p>
    <w:p>
      <w:pPr>
        <w:pStyle w:val="9"/>
        <w:spacing w:before="0" w:line="360" w:lineRule="auto"/>
        <w:rPr>
          <w:rFonts w:ascii="Times New Roman" w:hAnsi="Times New Roman" w:cs="Times New Roman"/>
          <w:b/>
          <w:bCs/>
          <w:color w:val="auto"/>
          <w:szCs w:val="22"/>
          <w:highlight w:val="none"/>
        </w:rPr>
      </w:pPr>
      <w:r>
        <w:rPr>
          <w:rFonts w:ascii="Times New Roman" w:hAnsi="Times New Roman" w:cs="Times New Roman"/>
          <w:b/>
          <w:bCs/>
          <w:color w:val="auto"/>
          <w:szCs w:val="22"/>
          <w:highlight w:val="none"/>
        </w:rPr>
        <w:t>表 4-6 现有工程实际采取的措施与环评对比</w:t>
      </w:r>
    </w:p>
    <w:tbl>
      <w:tblPr>
        <w:tblStyle w:val="23"/>
        <w:tblW w:w="852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7"/>
        <w:gridCol w:w="1275"/>
        <w:gridCol w:w="3090"/>
        <w:gridCol w:w="34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9" w:hRule="atLeast"/>
          <w:tblHeader/>
          <w:jc w:val="center"/>
        </w:trPr>
        <w:tc>
          <w:tcPr>
            <w:tcW w:w="717" w:type="dxa"/>
            <w:tcBorders>
              <w:tl2br w:val="nil"/>
              <w:tr2bl w:val="nil"/>
            </w:tcBorders>
            <w:vAlign w:val="center"/>
          </w:tcPr>
          <w:p>
            <w:pPr>
              <w:pStyle w:val="43"/>
              <w:rPr>
                <w:rFonts w:ascii="Times New Roman" w:hAnsi="Times New Roman" w:cs="Times New Roman" w:eastAsiaTheme="minorEastAsia"/>
                <w:b/>
                <w:bCs/>
                <w:color w:val="auto"/>
                <w:sz w:val="21"/>
                <w:highlight w:val="none"/>
              </w:rPr>
            </w:pPr>
            <w:r>
              <w:rPr>
                <w:rFonts w:ascii="Times New Roman" w:hAnsi="Times New Roman" w:cs="Times New Roman" w:eastAsiaTheme="minorEastAsia"/>
                <w:b/>
                <w:bCs/>
                <w:color w:val="auto"/>
                <w:sz w:val="21"/>
                <w:highlight w:val="none"/>
              </w:rPr>
              <w:t>项目</w:t>
            </w:r>
          </w:p>
        </w:tc>
        <w:tc>
          <w:tcPr>
            <w:tcW w:w="4365" w:type="dxa"/>
            <w:gridSpan w:val="2"/>
            <w:tcBorders>
              <w:tl2br w:val="nil"/>
              <w:tr2bl w:val="nil"/>
            </w:tcBorders>
            <w:vAlign w:val="center"/>
          </w:tcPr>
          <w:p>
            <w:pPr>
              <w:pStyle w:val="43"/>
              <w:rPr>
                <w:rFonts w:ascii="Times New Roman" w:hAnsi="Times New Roman" w:cs="Times New Roman" w:eastAsiaTheme="minorEastAsia"/>
                <w:b/>
                <w:bCs/>
                <w:color w:val="auto"/>
                <w:sz w:val="21"/>
                <w:highlight w:val="none"/>
              </w:rPr>
            </w:pPr>
            <w:r>
              <w:rPr>
                <w:rFonts w:ascii="Times New Roman" w:hAnsi="Times New Roman" w:cs="Times New Roman" w:eastAsiaTheme="minorEastAsia"/>
                <w:b/>
                <w:bCs/>
                <w:color w:val="auto"/>
                <w:sz w:val="21"/>
                <w:highlight w:val="none"/>
              </w:rPr>
              <w:t>现状环评要求</w:t>
            </w:r>
          </w:p>
        </w:tc>
        <w:tc>
          <w:tcPr>
            <w:tcW w:w="3444" w:type="dxa"/>
            <w:tcBorders>
              <w:tl2br w:val="nil"/>
              <w:tr2bl w:val="nil"/>
            </w:tcBorders>
            <w:vAlign w:val="center"/>
          </w:tcPr>
          <w:p>
            <w:pPr>
              <w:pStyle w:val="43"/>
              <w:rPr>
                <w:rFonts w:ascii="Times New Roman" w:hAnsi="Times New Roman" w:cs="Times New Roman" w:eastAsiaTheme="minorEastAsia"/>
                <w:b/>
                <w:bCs/>
                <w:color w:val="auto"/>
                <w:sz w:val="21"/>
                <w:highlight w:val="none"/>
              </w:rPr>
            </w:pPr>
            <w:r>
              <w:rPr>
                <w:rFonts w:ascii="Times New Roman" w:hAnsi="Times New Roman" w:cs="Times New Roman" w:eastAsiaTheme="minorEastAsia"/>
                <w:b/>
                <w:bCs/>
                <w:color w:val="auto"/>
                <w:sz w:val="21"/>
                <w:highlight w:val="none"/>
              </w:rPr>
              <w:t>实际情况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7" w:type="dxa"/>
            <w:vMerge w:val="restart"/>
            <w:tcBorders>
              <w:tl2br w:val="nil"/>
              <w:tr2bl w:val="nil"/>
            </w:tcBorders>
            <w:vAlign w:val="center"/>
          </w:tcPr>
          <w:p>
            <w:pPr>
              <w:pStyle w:val="43"/>
              <w:rPr>
                <w:rFonts w:ascii="Times New Roman" w:hAnsi="Times New Roman" w:cs="Times New Roman" w:eastAsiaTheme="minorEastAsia"/>
                <w:color w:val="auto"/>
                <w:sz w:val="21"/>
                <w:highlight w:val="none"/>
              </w:rPr>
            </w:pPr>
            <w:r>
              <w:rPr>
                <w:rFonts w:ascii="Times New Roman" w:hAnsi="Times New Roman" w:cs="Times New Roman" w:eastAsiaTheme="minorEastAsia"/>
                <w:color w:val="auto"/>
                <w:sz w:val="21"/>
                <w:highlight w:val="none"/>
              </w:rPr>
              <w:t>废气防治</w:t>
            </w:r>
          </w:p>
        </w:tc>
        <w:tc>
          <w:tcPr>
            <w:tcW w:w="1275" w:type="dxa"/>
            <w:tcBorders>
              <w:tl2br w:val="nil"/>
              <w:tr2bl w:val="nil"/>
            </w:tcBorders>
            <w:vAlign w:val="center"/>
          </w:tcPr>
          <w:p>
            <w:pPr>
              <w:jc w:val="center"/>
              <w:rPr>
                <w:rFonts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废油液挥发有机废气</w:t>
            </w:r>
          </w:p>
        </w:tc>
        <w:tc>
          <w:tcPr>
            <w:tcW w:w="30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加强车间通风</w:t>
            </w:r>
          </w:p>
        </w:tc>
        <w:tc>
          <w:tcPr>
            <w:tcW w:w="3444" w:type="dxa"/>
            <w:tcBorders>
              <w:tl2br w:val="nil"/>
              <w:tr2bl w:val="nil"/>
            </w:tcBorders>
            <w:vAlign w:val="center"/>
          </w:tcPr>
          <w:p>
            <w:pPr>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废油液回收废气经收集、活性炭吸附后通过15米排气筒排放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717" w:type="dxa"/>
            <w:vMerge w:val="continue"/>
            <w:tcBorders>
              <w:tl2br w:val="nil"/>
              <w:tr2bl w:val="nil"/>
            </w:tcBorders>
            <w:vAlign w:val="center"/>
          </w:tcPr>
          <w:p>
            <w:pPr>
              <w:pStyle w:val="43"/>
              <w:rPr>
                <w:rFonts w:ascii="Times New Roman" w:hAnsi="Times New Roman" w:cs="Times New Roman" w:eastAsiaTheme="minorEastAsia"/>
                <w:color w:val="auto"/>
                <w:sz w:val="21"/>
                <w:highlight w:val="none"/>
              </w:rPr>
            </w:pPr>
          </w:p>
        </w:tc>
        <w:tc>
          <w:tcPr>
            <w:tcW w:w="1275" w:type="dxa"/>
            <w:tcBorders>
              <w:tl2br w:val="nil"/>
              <w:tr2bl w:val="nil"/>
            </w:tcBorders>
            <w:vAlign w:val="center"/>
          </w:tcPr>
          <w:p>
            <w:pPr>
              <w:jc w:val="center"/>
              <w:rPr>
                <w:rFonts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制冷剂挥发有机废气</w:t>
            </w:r>
          </w:p>
        </w:tc>
        <w:tc>
          <w:tcPr>
            <w:tcW w:w="30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eastAsia="宋体" w:cs="Times New Roman"/>
                <w:color w:val="auto"/>
                <w:sz w:val="24"/>
                <w:szCs w:val="24"/>
                <w:highlight w:val="none"/>
              </w:rPr>
              <w:t>采用密闭式制冷剂回收装置对制冷剂进行回收，并收集在密闭容器中</w:t>
            </w:r>
          </w:p>
        </w:tc>
        <w:tc>
          <w:tcPr>
            <w:tcW w:w="3444" w:type="dxa"/>
            <w:tcBorders>
              <w:tl2br w:val="nil"/>
              <w:tr2bl w:val="nil"/>
            </w:tcBorders>
            <w:vAlign w:val="center"/>
          </w:tcPr>
          <w:p>
            <w:pPr>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717" w:type="dxa"/>
            <w:vMerge w:val="continue"/>
            <w:tcBorders>
              <w:tl2br w:val="nil"/>
              <w:tr2bl w:val="nil"/>
            </w:tcBorders>
            <w:vAlign w:val="center"/>
          </w:tcPr>
          <w:p>
            <w:pPr>
              <w:pStyle w:val="43"/>
              <w:rPr>
                <w:rFonts w:ascii="Times New Roman" w:hAnsi="Times New Roman" w:cs="Times New Roman" w:eastAsiaTheme="minorEastAsia"/>
                <w:color w:val="auto"/>
                <w:sz w:val="21"/>
                <w:highlight w:val="none"/>
              </w:rPr>
            </w:pPr>
          </w:p>
        </w:tc>
        <w:tc>
          <w:tcPr>
            <w:tcW w:w="1275" w:type="dxa"/>
            <w:tcBorders>
              <w:tl2br w:val="nil"/>
              <w:tr2bl w:val="nil"/>
            </w:tcBorders>
            <w:vAlign w:val="center"/>
          </w:tcPr>
          <w:p>
            <w:pPr>
              <w:jc w:val="center"/>
              <w:rPr>
                <w:rFonts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切割废气</w:t>
            </w:r>
          </w:p>
        </w:tc>
        <w:tc>
          <w:tcPr>
            <w:tcW w:w="30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vertAlign w:val="baseline"/>
                <w:lang w:eastAsia="zh-CN"/>
              </w:rPr>
              <w:t>采用移动式烟尘净化器处理后在车间内循环排放</w:t>
            </w:r>
          </w:p>
        </w:tc>
        <w:tc>
          <w:tcPr>
            <w:tcW w:w="3444" w:type="dxa"/>
            <w:tcBorders>
              <w:tl2br w:val="nil"/>
              <w:tr2bl w:val="nil"/>
            </w:tcBorders>
            <w:vAlign w:val="center"/>
          </w:tcPr>
          <w:p>
            <w:pPr>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717" w:type="dxa"/>
            <w:vMerge w:val="continue"/>
            <w:tcBorders>
              <w:tl2br w:val="nil"/>
              <w:tr2bl w:val="nil"/>
            </w:tcBorders>
            <w:vAlign w:val="center"/>
          </w:tcPr>
          <w:p>
            <w:pPr>
              <w:pStyle w:val="43"/>
              <w:rPr>
                <w:rFonts w:ascii="Times New Roman" w:hAnsi="Times New Roman" w:cs="Times New Roman" w:eastAsiaTheme="minorEastAsia"/>
                <w:color w:val="auto"/>
                <w:sz w:val="21"/>
                <w:highlight w:val="none"/>
              </w:rPr>
            </w:pPr>
          </w:p>
        </w:tc>
        <w:tc>
          <w:tcPr>
            <w:tcW w:w="1275" w:type="dxa"/>
            <w:tcBorders>
              <w:tl2br w:val="nil"/>
              <w:tr2bl w:val="nil"/>
            </w:tcBorders>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安全气囊引爆粉尘</w:t>
            </w:r>
          </w:p>
        </w:tc>
        <w:tc>
          <w:tcPr>
            <w:tcW w:w="30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vertAlign w:val="baseline"/>
                <w:lang w:eastAsia="zh-CN"/>
              </w:rPr>
              <w:t>用密闭式引爆装置收集，不排放</w:t>
            </w:r>
          </w:p>
        </w:tc>
        <w:tc>
          <w:tcPr>
            <w:tcW w:w="3444" w:type="dxa"/>
            <w:tcBorders>
              <w:tl2br w:val="nil"/>
              <w:tr2bl w:val="nil"/>
            </w:tcBorders>
            <w:vAlign w:val="center"/>
          </w:tcPr>
          <w:p>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tcBorders>
              <w:tl2br w:val="nil"/>
              <w:tr2bl w:val="nil"/>
            </w:tcBorders>
            <w:vAlign w:val="center"/>
          </w:tcPr>
          <w:p>
            <w:pPr>
              <w:pStyle w:val="43"/>
              <w:rPr>
                <w:rFonts w:ascii="Times New Roman" w:hAnsi="Times New Roman" w:cs="Times New Roman" w:eastAsiaTheme="minorEastAsia"/>
                <w:color w:val="auto"/>
                <w:sz w:val="21"/>
                <w:highlight w:val="none"/>
              </w:rPr>
            </w:pPr>
            <w:r>
              <w:rPr>
                <w:rFonts w:ascii="Times New Roman" w:hAnsi="Times New Roman" w:cs="Times New Roman" w:eastAsiaTheme="minorEastAsia"/>
                <w:color w:val="auto"/>
                <w:sz w:val="21"/>
                <w:highlight w:val="none"/>
              </w:rPr>
              <w:t>废水防治</w:t>
            </w:r>
          </w:p>
        </w:tc>
        <w:tc>
          <w:tcPr>
            <w:tcW w:w="4365" w:type="dxa"/>
            <w:gridSpan w:val="2"/>
            <w:tcBorders>
              <w:tl2br w:val="nil"/>
              <w:tr2bl w:val="nil"/>
            </w:tcBorders>
            <w:vAlign w:val="center"/>
          </w:tcPr>
          <w:p>
            <w:pPr>
              <w:pStyle w:val="43"/>
              <w:ind w:firstLine="420" w:firstLineChars="200"/>
              <w:jc w:val="both"/>
              <w:rPr>
                <w:rFonts w:ascii="Times New Roman" w:hAnsi="Times New Roman" w:cs="Times New Roman" w:eastAsiaTheme="minorEastAsia"/>
                <w:color w:val="auto"/>
                <w:kern w:val="2"/>
                <w:sz w:val="21"/>
                <w:highlight w:val="none"/>
              </w:rPr>
            </w:pPr>
            <w:r>
              <w:rPr>
                <w:rFonts w:hint="eastAsia" w:ascii="Times New Roman" w:hAnsi="Times New Roman" w:cs="Times New Roman" w:eastAsiaTheme="minorEastAsia"/>
                <w:color w:val="auto"/>
                <w:sz w:val="21"/>
                <w:highlight w:val="none"/>
                <w:lang w:eastAsia="zh-CN"/>
              </w:rPr>
              <w:t>生产废水（</w:t>
            </w:r>
            <w:r>
              <w:rPr>
                <w:rFonts w:hint="default" w:ascii="Times New Roman" w:hAnsi="Times New Roman" w:cs="Times New Roman" w:eastAsiaTheme="minorEastAsia"/>
                <w:color w:val="auto"/>
                <w:sz w:val="21"/>
                <w:highlight w:val="none"/>
                <w:lang w:eastAsia="zh-CN"/>
              </w:rPr>
              <w:t>拆解预处理</w:t>
            </w:r>
            <w:r>
              <w:rPr>
                <w:rFonts w:hint="eastAsia" w:ascii="Times New Roman" w:hAnsi="Times New Roman" w:cs="Times New Roman" w:eastAsiaTheme="minorEastAsia"/>
                <w:color w:val="auto"/>
                <w:sz w:val="21"/>
                <w:highlight w:val="none"/>
                <w:lang w:eastAsia="zh-CN"/>
              </w:rPr>
              <w:t>废水、</w:t>
            </w:r>
            <w:r>
              <w:rPr>
                <w:rFonts w:hint="default" w:ascii="Times New Roman" w:hAnsi="Times New Roman" w:cs="Times New Roman" w:eastAsiaTheme="minorEastAsia"/>
                <w:color w:val="auto"/>
                <w:sz w:val="21"/>
                <w:highlight w:val="none"/>
                <w:lang w:eastAsia="zh-CN"/>
              </w:rPr>
              <w:t>拆解区地面冲洗</w:t>
            </w:r>
            <w:r>
              <w:rPr>
                <w:rFonts w:hint="eastAsia" w:ascii="Times New Roman" w:hAnsi="Times New Roman" w:cs="Times New Roman" w:eastAsiaTheme="minorEastAsia"/>
                <w:color w:val="auto"/>
                <w:sz w:val="21"/>
                <w:highlight w:val="none"/>
                <w:lang w:eastAsia="zh-CN"/>
              </w:rPr>
              <w:t>废水）经隔油沉淀池预处理达到</w:t>
            </w:r>
            <w:r>
              <w:rPr>
                <w:rFonts w:ascii="Times New Roman" w:hAnsi="Times New Roman" w:cs="Times New Roman" w:eastAsiaTheme="minorEastAsia"/>
                <w:color w:val="auto"/>
                <w:sz w:val="21"/>
                <w:highlight w:val="none"/>
              </w:rPr>
              <w:t>《污水综合排放标准》（GB8978-1996）的</w:t>
            </w:r>
            <w:r>
              <w:rPr>
                <w:rFonts w:hint="eastAsia" w:ascii="Times New Roman" w:hAnsi="Times New Roman" w:cs="Times New Roman" w:eastAsiaTheme="minorEastAsia"/>
                <w:color w:val="auto"/>
                <w:sz w:val="21"/>
                <w:highlight w:val="none"/>
              </w:rPr>
              <w:t>三</w:t>
            </w:r>
            <w:r>
              <w:rPr>
                <w:rFonts w:ascii="Times New Roman" w:hAnsi="Times New Roman" w:cs="Times New Roman" w:eastAsiaTheme="minorEastAsia"/>
                <w:color w:val="auto"/>
                <w:sz w:val="21"/>
                <w:highlight w:val="none"/>
              </w:rPr>
              <w:t>级标准</w:t>
            </w:r>
            <w:r>
              <w:rPr>
                <w:rFonts w:hint="eastAsia" w:ascii="Times New Roman" w:hAnsi="Times New Roman" w:cs="Times New Roman" w:eastAsiaTheme="minorEastAsia"/>
                <w:color w:val="auto"/>
                <w:sz w:val="21"/>
                <w:highlight w:val="none"/>
              </w:rPr>
              <w:t>后</w:t>
            </w:r>
            <w:r>
              <w:rPr>
                <w:rFonts w:hint="eastAsia" w:ascii="Times New Roman" w:hAnsi="Times New Roman" w:cs="Times New Roman" w:eastAsiaTheme="minorEastAsia"/>
                <w:color w:val="auto"/>
                <w:sz w:val="21"/>
                <w:highlight w:val="none"/>
                <w:lang w:eastAsia="zh-CN"/>
              </w:rPr>
              <w:t>汇同经化粪池预处理后的生活污水一并</w:t>
            </w:r>
            <w:r>
              <w:rPr>
                <w:rFonts w:hint="eastAsia" w:ascii="Times New Roman" w:hAnsi="Times New Roman" w:cs="Times New Roman" w:eastAsiaTheme="minorEastAsia"/>
                <w:color w:val="auto"/>
                <w:sz w:val="21"/>
                <w:highlight w:val="none"/>
              </w:rPr>
              <w:t>纳入市政污水管网，送至</w:t>
            </w:r>
            <w:r>
              <w:rPr>
                <w:rFonts w:hint="eastAsia" w:ascii="Times New Roman" w:hAnsi="Times New Roman" w:cs="Times New Roman" w:eastAsiaTheme="minorEastAsia"/>
                <w:color w:val="auto"/>
                <w:sz w:val="21"/>
                <w:highlight w:val="none"/>
                <w:lang w:eastAsia="zh-CN"/>
              </w:rPr>
              <w:t>新周污水处理厂</w:t>
            </w:r>
            <w:r>
              <w:rPr>
                <w:rFonts w:hint="eastAsia" w:ascii="Times New Roman" w:hAnsi="Times New Roman" w:cs="Times New Roman" w:eastAsiaTheme="minorEastAsia"/>
                <w:color w:val="auto"/>
                <w:sz w:val="21"/>
                <w:highlight w:val="none"/>
              </w:rPr>
              <w:t>处理达</w:t>
            </w:r>
            <w:r>
              <w:rPr>
                <w:rFonts w:hint="default" w:ascii="Times New Roman" w:hAnsi="Times New Roman" w:cs="Times New Roman" w:eastAsiaTheme="minorEastAsia"/>
                <w:color w:val="auto"/>
                <w:sz w:val="21"/>
                <w:highlight w:val="none"/>
                <w:lang w:val="en-US" w:eastAsia="zh-CN"/>
              </w:rPr>
              <w:t>《城镇污水处理厂污染物排放标准》（GB18918-2002）一级A标准及甬环发【2019】39号文件要求</w:t>
            </w:r>
            <w:r>
              <w:rPr>
                <w:rFonts w:hint="eastAsia" w:ascii="Times New Roman" w:hAnsi="Times New Roman" w:cs="Times New Roman" w:eastAsiaTheme="minorEastAsia"/>
                <w:color w:val="auto"/>
                <w:sz w:val="21"/>
                <w:highlight w:val="none"/>
                <w:lang w:val="en-US" w:eastAsia="zh-CN"/>
              </w:rPr>
              <w:t>后排放。</w:t>
            </w:r>
          </w:p>
        </w:tc>
        <w:tc>
          <w:tcPr>
            <w:tcW w:w="3444" w:type="dxa"/>
            <w:tcBorders>
              <w:tl2br w:val="nil"/>
              <w:tr2bl w:val="nil"/>
            </w:tcBorders>
            <w:vAlign w:val="center"/>
          </w:tcPr>
          <w:p>
            <w:pPr>
              <w:pStyle w:val="15"/>
              <w:rPr>
                <w:rFonts w:hint="eastAsia"/>
                <w:color w:val="auto"/>
                <w:highlight w:val="none"/>
                <w:lang w:eastAsia="zh-CN"/>
              </w:rPr>
            </w:pPr>
            <w:r>
              <w:rPr>
                <w:rFonts w:hint="eastAsia"/>
                <w:color w:val="auto"/>
                <w:highlight w:val="none"/>
                <w:lang w:eastAsia="zh-CN"/>
              </w:rPr>
              <w:t>本项目废水主要为车间地面清洗废水、初期雨水、生活污水。初期雨水经收集隔油沉淀处理后纳入雨水管网。车间地面清洗废水经油水分离器+混凝沉淀处理后与经化粪池预处理后的生活污水均纳入市政污水管网后送至新周污水处理厂。新周污水处理厂污水纳管执行《污水综合排放标准》（GB8978-1996）三级标准，氨氮、总磷纳管执行浙江省地方标准浙环函[2013]102号《工业企业废水氮、磷污染物间接排放限值》（DB33/887-2013）的规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tcBorders>
              <w:tl2br w:val="nil"/>
              <w:tr2bl w:val="nil"/>
            </w:tcBorders>
            <w:vAlign w:val="center"/>
          </w:tcPr>
          <w:p>
            <w:pPr>
              <w:pStyle w:val="43"/>
              <w:rPr>
                <w:rFonts w:ascii="Times New Roman" w:hAnsi="Times New Roman" w:cs="Times New Roman" w:eastAsiaTheme="minorEastAsia"/>
                <w:color w:val="auto"/>
                <w:sz w:val="21"/>
                <w:highlight w:val="none"/>
              </w:rPr>
            </w:pPr>
            <w:r>
              <w:rPr>
                <w:rFonts w:ascii="Times New Roman" w:hAnsi="Times New Roman" w:cs="Times New Roman" w:eastAsiaTheme="minorEastAsia"/>
                <w:color w:val="auto"/>
                <w:sz w:val="21"/>
                <w:highlight w:val="none"/>
              </w:rPr>
              <w:t>噪声防治</w:t>
            </w:r>
          </w:p>
        </w:tc>
        <w:tc>
          <w:tcPr>
            <w:tcW w:w="4365" w:type="dxa"/>
            <w:gridSpan w:val="2"/>
            <w:tcBorders>
              <w:tl2br w:val="nil"/>
              <w:tr2bl w:val="nil"/>
            </w:tcBorders>
            <w:vAlign w:val="center"/>
          </w:tcPr>
          <w:p>
            <w:pPr>
              <w:pStyle w:val="43"/>
              <w:ind w:firstLine="420" w:firstLineChars="200"/>
              <w:jc w:val="both"/>
              <w:rPr>
                <w:rFonts w:ascii="Times New Roman" w:hAnsi="Times New Roman" w:cs="Times New Roman" w:eastAsiaTheme="minorEastAsia"/>
                <w:color w:val="auto"/>
                <w:sz w:val="21"/>
                <w:highlight w:val="none"/>
              </w:rPr>
            </w:pPr>
            <w:r>
              <w:rPr>
                <w:rFonts w:ascii="Times New Roman" w:hAnsi="Times New Roman" w:cs="Times New Roman" w:eastAsiaTheme="minorEastAsia"/>
                <w:color w:val="auto"/>
                <w:sz w:val="21"/>
                <w:highlight w:val="none"/>
              </w:rPr>
              <w:t>加强生产过程噪声的防治，厂界环境噪声排放执行GB12348-2008《工业企业厂界环境噪声排放标准》2类标准。</w:t>
            </w:r>
          </w:p>
        </w:tc>
        <w:tc>
          <w:tcPr>
            <w:tcW w:w="3444" w:type="dxa"/>
            <w:tcBorders>
              <w:tl2br w:val="nil"/>
              <w:tr2bl w:val="nil"/>
            </w:tcBorders>
            <w:vAlign w:val="center"/>
          </w:tcPr>
          <w:p>
            <w:pPr>
              <w:pStyle w:val="43"/>
              <w:ind w:firstLine="420" w:firstLineChars="200"/>
              <w:jc w:val="both"/>
              <w:rPr>
                <w:rFonts w:ascii="Times New Roman" w:hAnsi="Times New Roman" w:cs="Times New Roman" w:eastAsiaTheme="minorEastAsia"/>
                <w:color w:val="auto"/>
                <w:sz w:val="21"/>
                <w:highlight w:val="none"/>
              </w:rPr>
            </w:pPr>
            <w:r>
              <w:rPr>
                <w:rFonts w:ascii="Times New Roman" w:hAnsi="Times New Roman" w:cs="Times New Roman" w:eastAsiaTheme="minorEastAsia"/>
                <w:color w:val="auto"/>
                <w:sz w:val="21"/>
                <w:highlight w:val="none"/>
              </w:rPr>
              <w:t>验收监测期间，厂界四周环境噪声符合《工业企业厂界环境噪声排放标准》（GB12348-2008）2类标准。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tcBorders>
              <w:tl2br w:val="nil"/>
              <w:tr2bl w:val="nil"/>
            </w:tcBorders>
            <w:vAlign w:val="center"/>
          </w:tcPr>
          <w:p>
            <w:pPr>
              <w:pStyle w:val="43"/>
              <w:rPr>
                <w:rFonts w:ascii="Times New Roman" w:hAnsi="Times New Roman" w:cs="Times New Roman" w:eastAsiaTheme="minorEastAsia"/>
                <w:color w:val="auto"/>
                <w:sz w:val="21"/>
                <w:highlight w:val="none"/>
              </w:rPr>
            </w:pPr>
            <w:r>
              <w:rPr>
                <w:rFonts w:ascii="Times New Roman" w:hAnsi="Times New Roman" w:cs="Times New Roman" w:eastAsiaTheme="minorEastAsia"/>
                <w:color w:val="auto"/>
                <w:sz w:val="21"/>
                <w:highlight w:val="none"/>
              </w:rPr>
              <w:t>固废防治</w:t>
            </w:r>
          </w:p>
        </w:tc>
        <w:tc>
          <w:tcPr>
            <w:tcW w:w="4365" w:type="dxa"/>
            <w:gridSpan w:val="2"/>
            <w:tcBorders>
              <w:tl2br w:val="nil"/>
              <w:tr2bl w:val="nil"/>
            </w:tcBorders>
            <w:vAlign w:val="center"/>
          </w:tcPr>
          <w:p>
            <w:pPr>
              <w:pageBreakBefore w:val="0"/>
              <w:widowControl w:val="0"/>
              <w:kinsoku/>
              <w:wordWrap/>
              <w:overflowPunct/>
              <w:topLinePunct w:val="0"/>
              <w:bidi w:val="0"/>
              <w:adjustRightInd/>
              <w:snapToGrid/>
              <w:spacing w:line="240" w:lineRule="auto"/>
              <w:ind w:firstLine="480"/>
              <w:textAlignment w:val="auto"/>
              <w:rPr>
                <w:rFonts w:ascii="Times New Roman" w:hAnsi="Times New Roman" w:cs="Times New Roman"/>
                <w:color w:val="auto"/>
                <w:kern w:val="0"/>
                <w:sz w:val="21"/>
                <w:szCs w:val="21"/>
                <w:highlight w:val="none"/>
              </w:rPr>
            </w:pPr>
            <w:r>
              <w:rPr>
                <w:rFonts w:hint="default" w:ascii="Times New Roman" w:hAnsi="Times New Roman" w:cs="Times New Roman" w:eastAsiaTheme="minorEastAsia"/>
                <w:color w:val="auto"/>
                <w:kern w:val="0"/>
                <w:sz w:val="21"/>
                <w:szCs w:val="21"/>
                <w:highlight w:val="none"/>
                <w:lang w:val="en-US" w:eastAsia="zh-CN" w:bidi="ar-SA"/>
              </w:rPr>
              <w:t>本项目废钢铁、</w:t>
            </w:r>
            <w:r>
              <w:rPr>
                <w:rFonts w:hint="default" w:ascii="Times New Roman" w:hAnsi="Times New Roman" w:cs="Times New Roman" w:eastAsiaTheme="minorEastAsia"/>
                <w:color w:val="auto"/>
                <w:kern w:val="0"/>
                <w:sz w:val="21"/>
                <w:szCs w:val="21"/>
                <w:highlight w:val="none"/>
                <w:lang w:val="en-GB" w:eastAsia="zh-CN" w:bidi="ar-SA"/>
              </w:rPr>
              <w:t>废有色金属、废塑料、废橡胶、陶瓷、泡沫、废玻璃、引爆后的安全气囊分类收集后外售综合利用；废燃料油、废油液、废制冷剂、含汞含铅部件、废电容器、废电路板、</w:t>
            </w:r>
            <w:r>
              <w:rPr>
                <w:rFonts w:hint="eastAsia" w:ascii="Times New Roman" w:hAnsi="Times New Roman" w:cs="Times New Roman" w:eastAsiaTheme="minorEastAsia"/>
                <w:color w:val="auto"/>
                <w:kern w:val="0"/>
                <w:sz w:val="21"/>
                <w:szCs w:val="21"/>
                <w:highlight w:val="none"/>
                <w:lang w:val="en-GB" w:eastAsia="zh-CN" w:bidi="ar-SA"/>
              </w:rPr>
              <w:t>废动力蓄电池</w:t>
            </w:r>
            <w:r>
              <w:rPr>
                <w:rFonts w:hint="default" w:ascii="Times New Roman" w:hAnsi="Times New Roman" w:cs="Times New Roman" w:eastAsiaTheme="minorEastAsia"/>
                <w:color w:val="auto"/>
                <w:kern w:val="0"/>
                <w:sz w:val="21"/>
                <w:szCs w:val="21"/>
                <w:highlight w:val="none"/>
                <w:lang w:val="en-GB" w:eastAsia="zh-CN" w:bidi="ar-SA"/>
              </w:rPr>
              <w:t>、废铅酸蓄电池、废机油滤清器、废催化系统、废密封胶、石棉废物、废液化气罐、废油泥</w:t>
            </w:r>
            <w:r>
              <w:rPr>
                <w:rFonts w:hint="eastAsia" w:ascii="Times New Roman" w:hAnsi="Times New Roman" w:cs="Times New Roman" w:eastAsiaTheme="minorEastAsia"/>
                <w:color w:val="auto"/>
                <w:kern w:val="0"/>
                <w:sz w:val="21"/>
                <w:szCs w:val="21"/>
                <w:highlight w:val="none"/>
                <w:lang w:val="en-GB" w:eastAsia="zh-CN" w:bidi="ar-SA"/>
              </w:rPr>
              <w:t>、</w:t>
            </w:r>
            <w:r>
              <w:rPr>
                <w:rFonts w:hint="default" w:ascii="Times New Roman" w:hAnsi="Times New Roman" w:cs="Times New Roman" w:eastAsiaTheme="minorEastAsia"/>
                <w:color w:val="auto"/>
                <w:kern w:val="0"/>
                <w:sz w:val="21"/>
                <w:szCs w:val="21"/>
                <w:highlight w:val="none"/>
                <w:lang w:val="en-GB" w:eastAsia="zh-CN" w:bidi="ar-SA"/>
              </w:rPr>
              <w:t>废劳保用品分类收集暂存后委托有资质单位安全处置；其他不可回收</w:t>
            </w:r>
            <w:r>
              <w:rPr>
                <w:rFonts w:hint="eastAsia" w:ascii="Times New Roman" w:hAnsi="Times New Roman" w:cs="Times New Roman" w:eastAsiaTheme="minorEastAsia"/>
                <w:color w:val="auto"/>
                <w:kern w:val="0"/>
                <w:sz w:val="21"/>
                <w:szCs w:val="21"/>
                <w:highlight w:val="none"/>
                <w:lang w:val="en-GB" w:eastAsia="zh-CN" w:bidi="ar-SA"/>
              </w:rPr>
              <w:t>材料</w:t>
            </w:r>
            <w:r>
              <w:rPr>
                <w:rFonts w:hint="default" w:ascii="Times New Roman" w:hAnsi="Times New Roman" w:cs="Times New Roman" w:eastAsiaTheme="minorEastAsia"/>
                <w:color w:val="auto"/>
                <w:kern w:val="0"/>
                <w:sz w:val="21"/>
                <w:szCs w:val="21"/>
                <w:highlight w:val="none"/>
                <w:lang w:val="en-GB" w:eastAsia="zh-CN" w:bidi="ar-SA"/>
              </w:rPr>
              <w:t>、生活垃圾委托环卫部门清运</w:t>
            </w:r>
            <w:r>
              <w:rPr>
                <w:rFonts w:hint="default" w:ascii="Times New Roman" w:hAnsi="Times New Roman" w:cs="Times New Roman" w:eastAsiaTheme="minorEastAsia"/>
                <w:color w:val="auto"/>
                <w:kern w:val="0"/>
                <w:sz w:val="21"/>
                <w:szCs w:val="21"/>
                <w:highlight w:val="none"/>
                <w:lang w:val="en-US" w:eastAsia="zh-CN" w:bidi="ar-SA"/>
              </w:rPr>
              <w:t>。</w:t>
            </w:r>
          </w:p>
        </w:tc>
        <w:tc>
          <w:tcPr>
            <w:tcW w:w="3444" w:type="dxa"/>
            <w:tcBorders>
              <w:tl2br w:val="nil"/>
              <w:tr2bl w:val="nil"/>
            </w:tcBorders>
            <w:vAlign w:val="center"/>
          </w:tcPr>
          <w:p>
            <w:pPr>
              <w:pStyle w:val="43"/>
              <w:ind w:firstLine="420" w:firstLineChars="200"/>
              <w:jc w:val="both"/>
              <w:rPr>
                <w:rFonts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项目固体废弃物废橡胶、陶瓷、泡沫、废玻璃、引爆后的安全气囊、废燃料油和废气处理产生的废活性炭分类收集后委托宁波隆欣环境科技有限公司处置；废油液、废制冷剂、含汞含铅部件、废电容器、废电路板、废动力蓄电池、废铅酸蓄电池、废机油滤清器、废催化系统、废密封胶、石棉废物、废液化气罐、废油泥、废劳保用品委托宁波市北仑环保固废处置有限公司进行安全处置；生活垃圾委托环卫部门清运。</w:t>
            </w:r>
          </w:p>
        </w:tc>
      </w:tr>
      <w:bookmarkEnd w:id="28"/>
      <w:bookmarkEnd w:id="29"/>
    </w:tbl>
    <w:p>
      <w:pPr>
        <w:rPr>
          <w:rFonts w:ascii="Times New Roman" w:hAnsi="Times New Roman" w:cs="Times New Roman"/>
          <w:color w:val="auto"/>
          <w:highlight w:val="none"/>
        </w:rPr>
        <w:sectPr>
          <w:pgSz w:w="11906" w:h="16838"/>
          <w:pgMar w:top="1440" w:right="1803" w:bottom="1440" w:left="1803" w:header="680" w:footer="992" w:gutter="0"/>
          <w:pgBorders>
            <w:top w:val="none" w:sz="0" w:space="0"/>
            <w:left w:val="none" w:sz="0" w:space="0"/>
            <w:bottom w:val="none" w:sz="0" w:space="0"/>
            <w:right w:val="none" w:sz="0" w:space="0"/>
          </w:pgBorders>
          <w:cols w:space="0" w:num="1"/>
          <w:docGrid w:type="lines" w:linePitch="312" w:charSpace="0"/>
        </w:sectPr>
      </w:pPr>
      <w:bookmarkStart w:id="98" w:name="_GoBack"/>
      <w:bookmarkEnd w:id="98"/>
    </w:p>
    <w:p>
      <w:pPr>
        <w:pStyle w:val="3"/>
        <w:spacing w:before="0" w:after="0" w:line="360" w:lineRule="auto"/>
        <w:jc w:val="left"/>
        <w:rPr>
          <w:rFonts w:ascii="Times New Roman" w:hAnsi="Times New Roman" w:cs="Times New Roman"/>
          <w:color w:val="auto"/>
          <w:sz w:val="28"/>
          <w:szCs w:val="28"/>
          <w:highlight w:val="none"/>
        </w:rPr>
      </w:pPr>
      <w:bookmarkStart w:id="33" w:name="_Toc13611"/>
      <w:r>
        <w:rPr>
          <w:rFonts w:ascii="Times New Roman" w:hAnsi="Times New Roman" w:cs="Times New Roman"/>
          <w:color w:val="auto"/>
          <w:sz w:val="28"/>
          <w:szCs w:val="28"/>
          <w:highlight w:val="none"/>
        </w:rPr>
        <w:t>5、建设项目环评报告</w:t>
      </w:r>
      <w:r>
        <w:rPr>
          <w:rFonts w:hint="eastAsia" w:ascii="Times New Roman" w:hAnsi="Times New Roman" w:cs="Times New Roman"/>
          <w:color w:val="auto"/>
          <w:sz w:val="28"/>
          <w:szCs w:val="28"/>
          <w:highlight w:val="none"/>
          <w:lang w:eastAsia="zh-CN"/>
        </w:rPr>
        <w:t>书</w:t>
      </w:r>
      <w:r>
        <w:rPr>
          <w:rFonts w:ascii="Times New Roman" w:hAnsi="Times New Roman" w:cs="Times New Roman"/>
          <w:color w:val="auto"/>
          <w:sz w:val="28"/>
          <w:szCs w:val="28"/>
          <w:highlight w:val="none"/>
        </w:rPr>
        <w:t>的主要结论与建议及审批部门审批决定</w:t>
      </w:r>
      <w:bookmarkEnd w:id="30"/>
      <w:bookmarkEnd w:id="31"/>
      <w:bookmarkEnd w:id="32"/>
      <w:bookmarkEnd w:id="33"/>
    </w:p>
    <w:p>
      <w:pPr>
        <w:pStyle w:val="4"/>
        <w:spacing w:before="0" w:after="0" w:line="360" w:lineRule="auto"/>
        <w:rPr>
          <w:rFonts w:ascii="Times New Roman" w:hAnsi="Times New Roman" w:cs="Times New Roman" w:eastAsiaTheme="minorEastAsia"/>
          <w:color w:val="auto"/>
          <w:sz w:val="24"/>
          <w:szCs w:val="24"/>
          <w:highlight w:val="none"/>
        </w:rPr>
      </w:pPr>
      <w:bookmarkStart w:id="34" w:name="_Toc4078"/>
      <w:bookmarkStart w:id="35" w:name="_Toc25250"/>
      <w:bookmarkStart w:id="36" w:name="_Toc19615"/>
      <w:r>
        <w:rPr>
          <w:rFonts w:ascii="Times New Roman" w:hAnsi="Times New Roman" w:cs="Times New Roman" w:eastAsiaTheme="minorEastAsia"/>
          <w:color w:val="auto"/>
          <w:sz w:val="24"/>
          <w:szCs w:val="24"/>
          <w:highlight w:val="none"/>
        </w:rPr>
        <w:t>5.1建设项目现状环评报告</w:t>
      </w:r>
      <w:r>
        <w:rPr>
          <w:rFonts w:hint="eastAsia" w:ascii="Times New Roman" w:hAnsi="Times New Roman" w:cs="Times New Roman" w:eastAsiaTheme="minorEastAsia"/>
          <w:color w:val="auto"/>
          <w:sz w:val="24"/>
          <w:szCs w:val="24"/>
          <w:highlight w:val="none"/>
          <w:lang w:eastAsia="zh-CN"/>
        </w:rPr>
        <w:t>书</w:t>
      </w:r>
      <w:r>
        <w:rPr>
          <w:rFonts w:ascii="Times New Roman" w:hAnsi="Times New Roman" w:cs="Times New Roman" w:eastAsiaTheme="minorEastAsia"/>
          <w:color w:val="auto"/>
          <w:sz w:val="24"/>
          <w:szCs w:val="24"/>
          <w:highlight w:val="none"/>
        </w:rPr>
        <w:t>的主要结论</w:t>
      </w:r>
      <w:bookmarkEnd w:id="34"/>
      <w:bookmarkEnd w:id="35"/>
      <w:r>
        <w:rPr>
          <w:rFonts w:ascii="Times New Roman" w:hAnsi="Times New Roman" w:cs="Times New Roman" w:eastAsiaTheme="minorEastAsia"/>
          <w:color w:val="auto"/>
          <w:sz w:val="24"/>
          <w:szCs w:val="24"/>
          <w:highlight w:val="none"/>
        </w:rPr>
        <w:t>与建议</w:t>
      </w:r>
      <w:bookmarkEnd w:id="36"/>
    </w:p>
    <w:p>
      <w:pPr>
        <w:spacing w:line="360" w:lineRule="auto"/>
        <w:ind w:firstLine="480" w:firstLineChars="200"/>
        <w:rPr>
          <w:rFonts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lang w:eastAsia="zh-CN"/>
        </w:rPr>
        <w:t>宁波市鄞州勤锦金属回收有限公司年回收拆解3万台报废汽车扩建项目环境影响报告书</w:t>
      </w:r>
      <w:r>
        <w:rPr>
          <w:rFonts w:ascii="Times New Roman" w:hAnsi="Times New Roman" w:cs="Times New Roman"/>
          <w:color w:val="auto"/>
          <w:sz w:val="24"/>
          <w:szCs w:val="24"/>
          <w:highlight w:val="none"/>
        </w:rPr>
        <w:t>主要结论：</w:t>
      </w:r>
    </w:p>
    <w:p>
      <w:pPr>
        <w:pStyle w:val="54"/>
        <w:spacing w:line="500" w:lineRule="exact"/>
        <w:rPr>
          <w:color w:val="auto"/>
          <w:highlight w:val="none"/>
        </w:rPr>
      </w:pPr>
      <w:bookmarkStart w:id="37" w:name="_Toc10604"/>
      <w:bookmarkStart w:id="38" w:name="_Toc29047"/>
      <w:bookmarkStart w:id="39" w:name="_Toc2036"/>
      <w:r>
        <w:rPr>
          <w:rFonts w:hint="default" w:ascii="Times New Roman" w:hAnsi="Times New Roman" w:cs="Times New Roman"/>
          <w:color w:val="auto"/>
          <w:kern w:val="6"/>
          <w:highlight w:val="none"/>
          <w:lang w:eastAsia="zh-CN"/>
        </w:rPr>
        <w:t>宁波市鄞州勤锦金属回收</w:t>
      </w:r>
      <w:r>
        <w:rPr>
          <w:rFonts w:hint="default" w:ascii="Times New Roman" w:hAnsi="Times New Roman" w:cs="Times New Roman"/>
          <w:color w:val="auto"/>
          <w:kern w:val="6"/>
          <w:highlight w:val="none"/>
        </w:rPr>
        <w:t>“</w:t>
      </w:r>
      <w:r>
        <w:rPr>
          <w:rFonts w:hint="default" w:ascii="Times New Roman" w:hAnsi="Times New Roman" w:cs="Times New Roman"/>
          <w:color w:val="auto"/>
          <w:kern w:val="6"/>
          <w:highlight w:val="none"/>
          <w:lang w:eastAsia="zh-CN"/>
        </w:rPr>
        <w:t>年回收拆解3万台报废汽车扩建项目</w:t>
      </w:r>
      <w:r>
        <w:rPr>
          <w:rFonts w:hint="default" w:ascii="Times New Roman" w:hAnsi="Times New Roman" w:cs="Times New Roman"/>
          <w:color w:val="auto"/>
          <w:kern w:val="6"/>
          <w:highlight w:val="none"/>
        </w:rPr>
        <w:t>”选址于</w:t>
      </w:r>
      <w:r>
        <w:rPr>
          <w:rFonts w:hint="default" w:ascii="Times New Roman" w:hAnsi="Times New Roman" w:cs="Times New Roman"/>
          <w:color w:val="auto"/>
          <w:kern w:val="0"/>
          <w:sz w:val="24"/>
          <w:highlight w:val="none"/>
          <w:lang w:val="en-US" w:eastAsia="zh-CN"/>
        </w:rPr>
        <w:t>宁波市鄞州区五乡镇新诚村</w:t>
      </w:r>
      <w:r>
        <w:rPr>
          <w:rFonts w:hint="default" w:ascii="Times New Roman" w:hAnsi="Times New Roman" w:cs="Times New Roman"/>
          <w:color w:val="auto"/>
          <w:kern w:val="6"/>
          <w:highlight w:val="none"/>
        </w:rPr>
        <w:t>。项目建设符合相关行业技术规范要求，符合国家产业政策、城市总体规划及“三线一单”控制要求。项目平面布局合理，污染治理措施经济合理，技术可行，污染物可做到达标排放</w:t>
      </w:r>
      <w:r>
        <w:rPr>
          <w:rFonts w:hint="eastAsia" w:ascii="Times New Roman" w:hAnsi="Times New Roman" w:cs="Times New Roman"/>
          <w:color w:val="auto"/>
          <w:kern w:val="6"/>
          <w:highlight w:val="none"/>
          <w:lang w:eastAsia="zh-CN"/>
        </w:rPr>
        <w:t>，</w:t>
      </w:r>
      <w:r>
        <w:rPr>
          <w:rFonts w:hint="default" w:ascii="Times New Roman" w:hAnsi="Times New Roman" w:cs="Times New Roman"/>
          <w:color w:val="auto"/>
          <w:kern w:val="6"/>
          <w:highlight w:val="none"/>
        </w:rPr>
        <w:t>项目潜在的环境风险可控。在认真落实本中所提出的各项污染防治措施和对策的前提下，各污染物可做到达标排放，并且满足环境质量和环境功能区划的要求。从环境保护角度分析，项目建设可行</w:t>
      </w:r>
      <w:r>
        <w:rPr>
          <w:rFonts w:hint="default" w:ascii="Times New Roman" w:hAnsi="Times New Roman" w:cs="Times New Roman"/>
          <w:color w:val="auto"/>
          <w:kern w:val="6"/>
          <w:highlight w:val="none"/>
          <w:lang w:eastAsia="zh-CN"/>
        </w:rPr>
        <w:t>。</w:t>
      </w:r>
    </w:p>
    <w:p>
      <w:pPr>
        <w:pStyle w:val="4"/>
        <w:spacing w:before="0" w:after="0" w:line="360" w:lineRule="auto"/>
        <w:rPr>
          <w:rFonts w:ascii="Times New Roman" w:hAnsi="Times New Roman" w:cs="Times New Roman" w:eastAsiaTheme="minorEastAsia"/>
          <w:color w:val="auto"/>
          <w:sz w:val="24"/>
          <w:szCs w:val="24"/>
          <w:highlight w:val="none"/>
        </w:rPr>
      </w:pPr>
      <w:bookmarkStart w:id="40" w:name="_Toc14439"/>
      <w:r>
        <w:rPr>
          <w:rFonts w:ascii="Times New Roman" w:hAnsi="Times New Roman" w:cs="Times New Roman" w:eastAsiaTheme="minorEastAsia"/>
          <w:color w:val="auto"/>
          <w:sz w:val="24"/>
          <w:szCs w:val="24"/>
          <w:highlight w:val="none"/>
        </w:rPr>
        <w:t>5.2审批部门审批决定</w:t>
      </w:r>
      <w:bookmarkEnd w:id="37"/>
      <w:bookmarkEnd w:id="38"/>
      <w:bookmarkEnd w:id="39"/>
      <w:bookmarkEnd w:id="40"/>
    </w:p>
    <w:p>
      <w:pPr>
        <w:spacing w:line="360" w:lineRule="auto"/>
        <w:ind w:firstLine="480" w:firstLineChars="200"/>
        <w:rPr>
          <w:rFonts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lang w:eastAsia="zh-CN"/>
        </w:rPr>
        <w:t>宁波市鄞州勤锦金属回收有限公司年回收拆解3万台报废汽车扩建项目环境影响报告书</w:t>
      </w:r>
      <w:r>
        <w:rPr>
          <w:rFonts w:ascii="Times New Roman" w:hAnsi="Times New Roman" w:cs="Times New Roman"/>
          <w:color w:val="auto"/>
          <w:sz w:val="24"/>
          <w:szCs w:val="24"/>
          <w:highlight w:val="none"/>
        </w:rPr>
        <w:t>的审批意见详见附件一</w:t>
      </w:r>
      <w:r>
        <w:rPr>
          <w:rFonts w:hint="eastAsia" w:ascii="Times New Roman" w:hAnsi="Times New Roman" w:cs="Times New Roman"/>
          <w:color w:val="auto"/>
          <w:sz w:val="24"/>
          <w:szCs w:val="24"/>
          <w:highlight w:val="none"/>
        </w:rPr>
        <w:t>。</w:t>
      </w:r>
    </w:p>
    <w:p>
      <w:pPr>
        <w:rPr>
          <w:rFonts w:ascii="Times New Roman" w:hAnsi="Times New Roman" w:cs="Times New Roman"/>
          <w:color w:val="auto"/>
          <w:sz w:val="28"/>
          <w:szCs w:val="28"/>
          <w:highlight w:val="none"/>
        </w:rPr>
      </w:pPr>
      <w:bookmarkStart w:id="41" w:name="_Toc26973"/>
      <w:bookmarkStart w:id="42" w:name="_Toc16487"/>
      <w:r>
        <w:rPr>
          <w:rFonts w:ascii="Times New Roman" w:hAnsi="Times New Roman" w:cs="Times New Roman"/>
          <w:color w:val="auto"/>
          <w:sz w:val="28"/>
          <w:szCs w:val="28"/>
          <w:highlight w:val="none"/>
        </w:rPr>
        <w:br w:type="page"/>
      </w:r>
    </w:p>
    <w:p>
      <w:pPr>
        <w:pStyle w:val="3"/>
        <w:spacing w:before="0" w:after="0" w:line="360" w:lineRule="auto"/>
        <w:rPr>
          <w:rFonts w:ascii="Times New Roman" w:hAnsi="Times New Roman" w:cs="Times New Roman"/>
          <w:color w:val="auto"/>
          <w:sz w:val="24"/>
          <w:szCs w:val="24"/>
          <w:highlight w:val="none"/>
        </w:rPr>
      </w:pPr>
      <w:bookmarkStart w:id="43" w:name="_Toc14935"/>
      <w:r>
        <w:rPr>
          <w:rFonts w:ascii="Times New Roman" w:hAnsi="Times New Roman" w:cs="Times New Roman"/>
          <w:color w:val="auto"/>
          <w:sz w:val="28"/>
          <w:szCs w:val="28"/>
          <w:highlight w:val="none"/>
        </w:rPr>
        <w:t>6、验收执行标准</w:t>
      </w:r>
      <w:bookmarkEnd w:id="41"/>
      <w:bookmarkEnd w:id="43"/>
    </w:p>
    <w:p>
      <w:pPr>
        <w:pStyle w:val="4"/>
        <w:spacing w:before="0" w:after="0" w:line="360" w:lineRule="auto"/>
        <w:rPr>
          <w:rFonts w:ascii="Times New Roman" w:hAnsi="Times New Roman" w:cs="Times New Roman" w:eastAsiaTheme="minorEastAsia"/>
          <w:color w:val="auto"/>
          <w:sz w:val="24"/>
          <w:szCs w:val="24"/>
          <w:highlight w:val="none"/>
        </w:rPr>
      </w:pPr>
      <w:bookmarkStart w:id="44" w:name="_Toc16301"/>
      <w:bookmarkStart w:id="45" w:name="_Toc4514"/>
      <w:r>
        <w:rPr>
          <w:rFonts w:ascii="Times New Roman" w:hAnsi="Times New Roman" w:cs="Times New Roman" w:eastAsiaTheme="minorEastAsia"/>
          <w:color w:val="auto"/>
          <w:sz w:val="24"/>
          <w:szCs w:val="24"/>
          <w:highlight w:val="none"/>
        </w:rPr>
        <w:t>6.1废气执行标准</w:t>
      </w:r>
      <w:bookmarkEnd w:id="44"/>
      <w:bookmarkEnd w:id="45"/>
    </w:p>
    <w:p>
      <w:pPr>
        <w:spacing w:line="360" w:lineRule="auto"/>
        <w:ind w:firstLine="480" w:firstLineChars="200"/>
        <w:rPr>
          <w:rFonts w:ascii="Times New Roman" w:hAnsi="Times New Roman" w:cs="Times New Roman"/>
          <w:color w:val="auto"/>
          <w:sz w:val="24"/>
          <w:highlight w:val="none"/>
        </w:rPr>
      </w:pPr>
      <w:r>
        <w:rPr>
          <w:rFonts w:hint="default" w:ascii="Times New Roman" w:hAnsi="Times New Roman" w:cs="Times New Roman"/>
          <w:color w:val="auto"/>
          <w:kern w:val="0"/>
          <w:sz w:val="24"/>
          <w:highlight w:val="none"/>
        </w:rPr>
        <w:t>项目生产废气中颗粒物、非甲烷总烃类执行《大气污染物综合排放标准》（GB16297-1996）</w:t>
      </w:r>
      <w:r>
        <w:rPr>
          <w:rFonts w:hint="eastAsia"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新污染源大气污染物排放限值</w:t>
      </w:r>
      <w:r>
        <w:rPr>
          <w:rFonts w:hint="eastAsia"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w:t>
      </w:r>
      <w:r>
        <w:rPr>
          <w:rFonts w:ascii="Times New Roman" w:hAnsi="Times New Roman" w:cs="Times New Roman"/>
          <w:color w:val="auto"/>
          <w:kern w:val="0"/>
          <w:sz w:val="24"/>
          <w:highlight w:val="none"/>
        </w:rPr>
        <w:t>详</w:t>
      </w:r>
      <w:r>
        <w:rPr>
          <w:rFonts w:ascii="Times New Roman" w:hAnsi="Times New Roman" w:cs="Times New Roman"/>
          <w:color w:val="auto"/>
          <w:sz w:val="24"/>
          <w:highlight w:val="none"/>
        </w:rPr>
        <w:t>见表6-1。</w:t>
      </w:r>
    </w:p>
    <w:p>
      <w:pPr>
        <w:jc w:val="center"/>
        <w:rPr>
          <w:rFonts w:ascii="Times New Roman" w:hAnsi="Times New Roman" w:cs="Times New Roman"/>
          <w:b/>
          <w:color w:val="auto"/>
          <w:kern w:val="0"/>
          <w:sz w:val="24"/>
          <w:highlight w:val="none"/>
        </w:rPr>
      </w:pPr>
      <w:r>
        <w:rPr>
          <w:rFonts w:ascii="Times New Roman" w:hAnsi="Times New Roman" w:cs="Times New Roman"/>
          <w:b/>
          <w:color w:val="auto"/>
          <w:kern w:val="0"/>
          <w:sz w:val="24"/>
          <w:highlight w:val="none"/>
        </w:rPr>
        <w:t>表6-1  大气污染物综合排放标准</w:t>
      </w:r>
    </w:p>
    <w:tbl>
      <w:tblPr>
        <w:tblStyle w:val="23"/>
        <w:tblW w:w="8516"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703"/>
        <w:gridCol w:w="1703"/>
        <w:gridCol w:w="1703"/>
        <w:gridCol w:w="1386"/>
        <w:gridCol w:w="2021"/>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1703" w:type="dxa"/>
            <w:vMerge w:val="restart"/>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污染物</w:t>
            </w:r>
          </w:p>
        </w:tc>
        <w:tc>
          <w:tcPr>
            <w:tcW w:w="1703" w:type="dxa"/>
            <w:vMerge w:val="restart"/>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排放浓度（mg/m</w:t>
            </w:r>
            <w:r>
              <w:rPr>
                <w:rFonts w:ascii="Times New Roman" w:hAnsi="Times New Roman" w:cs="Times New Roman"/>
                <w:b/>
                <w:bCs/>
                <w:color w:val="auto"/>
                <w:szCs w:val="21"/>
                <w:highlight w:val="none"/>
                <w:vertAlign w:val="superscript"/>
              </w:rPr>
              <w:t xml:space="preserve">3 </w:t>
            </w:r>
            <w:r>
              <w:rPr>
                <w:rFonts w:ascii="Times New Roman" w:hAnsi="Times New Roman" w:cs="Times New Roman"/>
                <w:b/>
                <w:bCs/>
                <w:color w:val="auto"/>
                <w:szCs w:val="21"/>
                <w:highlight w:val="none"/>
              </w:rPr>
              <w:t>）</w:t>
            </w:r>
          </w:p>
        </w:tc>
        <w:tc>
          <w:tcPr>
            <w:tcW w:w="3089" w:type="dxa"/>
            <w:gridSpan w:val="2"/>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排放速率（kg/h）</w:t>
            </w:r>
          </w:p>
        </w:tc>
        <w:tc>
          <w:tcPr>
            <w:tcW w:w="2021" w:type="dxa"/>
            <w:vMerge w:val="restart"/>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无组织排放监控浓度限值（周界浓度最高点）（mg/m</w:t>
            </w:r>
            <w:r>
              <w:rPr>
                <w:rFonts w:ascii="Times New Roman" w:hAnsi="Times New Roman" w:cs="Times New Roman"/>
                <w:b/>
                <w:bCs/>
                <w:color w:val="auto"/>
                <w:szCs w:val="21"/>
                <w:highlight w:val="none"/>
                <w:vertAlign w:val="superscript"/>
              </w:rPr>
              <w:t>3</w:t>
            </w:r>
            <w:r>
              <w:rPr>
                <w:rFonts w:ascii="Times New Roman" w:hAnsi="Times New Roman" w:cs="Times New Roman"/>
                <w:b/>
                <w:bCs/>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1703" w:type="dxa"/>
            <w:vMerge w:val="continue"/>
            <w:tcBorders>
              <w:tl2br w:val="nil"/>
              <w:tr2bl w:val="nil"/>
            </w:tcBorders>
            <w:vAlign w:val="center"/>
          </w:tcPr>
          <w:p>
            <w:pPr>
              <w:rPr>
                <w:rFonts w:ascii="Times New Roman" w:hAnsi="Times New Roman" w:cs="Times New Roman"/>
                <w:color w:val="auto"/>
                <w:szCs w:val="21"/>
                <w:highlight w:val="none"/>
              </w:rPr>
            </w:pPr>
          </w:p>
        </w:tc>
        <w:tc>
          <w:tcPr>
            <w:tcW w:w="1703" w:type="dxa"/>
            <w:vMerge w:val="continue"/>
            <w:tcBorders>
              <w:tl2br w:val="nil"/>
              <w:tr2bl w:val="nil"/>
            </w:tcBorders>
            <w:vAlign w:val="center"/>
          </w:tcPr>
          <w:p>
            <w:pPr>
              <w:rPr>
                <w:rFonts w:ascii="Times New Roman" w:hAnsi="Times New Roman" w:cs="Times New Roman"/>
                <w:color w:val="auto"/>
                <w:szCs w:val="21"/>
                <w:highlight w:val="none"/>
              </w:rPr>
            </w:pPr>
          </w:p>
        </w:tc>
        <w:tc>
          <w:tcPr>
            <w:tcW w:w="1703" w:type="dxa"/>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排放高度（m）</w:t>
            </w:r>
          </w:p>
        </w:tc>
        <w:tc>
          <w:tcPr>
            <w:tcW w:w="1386" w:type="dxa"/>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二级</w:t>
            </w:r>
          </w:p>
        </w:tc>
        <w:tc>
          <w:tcPr>
            <w:tcW w:w="2021" w:type="dxa"/>
            <w:vMerge w:val="continue"/>
            <w:tcBorders>
              <w:tl2br w:val="nil"/>
              <w:tr2bl w:val="nil"/>
            </w:tcBorders>
            <w:vAlign w:val="center"/>
          </w:tcPr>
          <w:p>
            <w:pPr>
              <w:spacing w:line="360" w:lineRule="auto"/>
              <w:rPr>
                <w:rFonts w:ascii="Times New Roman" w:hAnsi="Times New Roman"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1703"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颗粒物</w:t>
            </w:r>
          </w:p>
        </w:tc>
        <w:tc>
          <w:tcPr>
            <w:tcW w:w="1703"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≤120</w:t>
            </w:r>
          </w:p>
        </w:tc>
        <w:tc>
          <w:tcPr>
            <w:tcW w:w="1703"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15</w:t>
            </w:r>
          </w:p>
        </w:tc>
        <w:tc>
          <w:tcPr>
            <w:tcW w:w="1386"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≤3.5</w:t>
            </w:r>
          </w:p>
        </w:tc>
        <w:tc>
          <w:tcPr>
            <w:tcW w:w="2021"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≤1.0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1703" w:type="dxa"/>
            <w:tcBorders>
              <w:tl2br w:val="nil"/>
              <w:tr2bl w:val="nil"/>
            </w:tcBorders>
            <w:vAlign w:val="center"/>
          </w:tcPr>
          <w:p>
            <w:pPr>
              <w:pStyle w:val="7"/>
              <w:ind w:left="0" w:leftChars="0" w:firstLine="0" w:firstLineChars="0"/>
              <w:rPr>
                <w:rFonts w:hint="default" w:ascii="Times New Roman" w:hAnsi="Times New Roman" w:eastAsia="宋体" w:cs="Times New Roman"/>
                <w:color w:val="auto"/>
                <w:kern w:val="0"/>
                <w:sz w:val="21"/>
                <w:szCs w:val="22"/>
                <w:highlight w:val="none"/>
                <w:lang w:val="en-US" w:eastAsia="zh-CN" w:bidi="ar-SA"/>
              </w:rPr>
            </w:pPr>
            <w:bookmarkStart w:id="46" w:name="_Toc28499"/>
            <w:r>
              <w:rPr>
                <w:rFonts w:hint="default" w:ascii="Times New Roman" w:hAnsi="Times New Roman" w:cs="Times New Roman"/>
                <w:color w:val="auto"/>
                <w:highlight w:val="none"/>
                <w:lang w:eastAsia="zh-CN"/>
              </w:rPr>
              <w:t>非甲烷总烃</w:t>
            </w:r>
          </w:p>
        </w:tc>
        <w:tc>
          <w:tcPr>
            <w:tcW w:w="1703" w:type="dxa"/>
            <w:tcBorders>
              <w:tl2br w:val="nil"/>
              <w:tr2bl w:val="nil"/>
            </w:tcBorders>
            <w:vAlign w:val="center"/>
          </w:tcPr>
          <w:p>
            <w:pPr>
              <w:pStyle w:val="7"/>
              <w:ind w:left="0" w:leftChars="0" w:firstLine="0" w:firstLineChars="0"/>
              <w:rPr>
                <w:rFonts w:hint="default" w:ascii="Times New Roman" w:hAnsi="Times New Roman" w:cs="Times New Roman" w:eastAsiaTheme="minorEastAsia"/>
                <w:color w:val="auto"/>
                <w:kern w:val="0"/>
                <w:sz w:val="21"/>
                <w:szCs w:val="22"/>
                <w:highlight w:val="none"/>
                <w:lang w:val="en-US" w:eastAsia="zh-CN" w:bidi="ar-SA"/>
              </w:rPr>
            </w:pPr>
            <w:r>
              <w:rPr>
                <w:rFonts w:ascii="Times New Roman" w:hAnsi="Times New Roman" w:cs="Times New Roman"/>
                <w:color w:val="auto"/>
                <w:szCs w:val="21"/>
                <w:highlight w:val="none"/>
              </w:rPr>
              <w:t>≤</w:t>
            </w:r>
            <w:r>
              <w:rPr>
                <w:rFonts w:hint="default" w:ascii="Times New Roman" w:hAnsi="Times New Roman" w:cs="Times New Roman"/>
                <w:color w:val="auto"/>
                <w:highlight w:val="none"/>
                <w:lang w:val="en-US" w:eastAsia="zh-CN"/>
              </w:rPr>
              <w:t>120</w:t>
            </w:r>
          </w:p>
        </w:tc>
        <w:tc>
          <w:tcPr>
            <w:tcW w:w="1703" w:type="dxa"/>
            <w:tcBorders>
              <w:tl2br w:val="nil"/>
              <w:tr2bl w:val="nil"/>
            </w:tcBorders>
            <w:vAlign w:val="center"/>
          </w:tcPr>
          <w:p>
            <w:pPr>
              <w:pStyle w:val="7"/>
              <w:ind w:left="0" w:leftChars="0" w:firstLine="0" w:firstLineChars="0"/>
              <w:rPr>
                <w:rFonts w:hint="default" w:ascii="Times New Roman" w:hAnsi="Times New Roman" w:cs="Times New Roman" w:eastAsiaTheme="minorEastAsia"/>
                <w:color w:val="auto"/>
                <w:kern w:val="0"/>
                <w:sz w:val="21"/>
                <w:szCs w:val="22"/>
                <w:highlight w:val="none"/>
                <w:lang w:val="en-US" w:eastAsia="zh-CN" w:bidi="ar-SA"/>
              </w:rPr>
            </w:pPr>
            <w:r>
              <w:rPr>
                <w:rFonts w:hint="default" w:ascii="Times New Roman" w:hAnsi="Times New Roman" w:cs="Times New Roman"/>
                <w:color w:val="auto"/>
                <w:highlight w:val="none"/>
                <w:lang w:val="en-US" w:eastAsia="zh-CN"/>
              </w:rPr>
              <w:t>15</w:t>
            </w:r>
          </w:p>
        </w:tc>
        <w:tc>
          <w:tcPr>
            <w:tcW w:w="13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
                <w:szCs w:val="2"/>
                <w:highlight w:val="none"/>
                <w:lang w:val="en-US" w:eastAsia="zh-CN" w:bidi="ar-SA"/>
              </w:rPr>
            </w:pPr>
            <w:r>
              <w:rPr>
                <w:rFonts w:ascii="Times New Roman" w:hAnsi="Times New Roman" w:cs="Times New Roman"/>
                <w:color w:val="auto"/>
                <w:szCs w:val="21"/>
                <w:highlight w:val="none"/>
              </w:rPr>
              <w:t>≤</w:t>
            </w:r>
            <w:r>
              <w:rPr>
                <w:rFonts w:hint="default" w:ascii="Times New Roman" w:hAnsi="Times New Roman" w:eastAsia="宋体" w:cs="Times New Roman"/>
                <w:color w:val="auto"/>
                <w:kern w:val="0"/>
                <w:sz w:val="21"/>
                <w:szCs w:val="21"/>
                <w:highlight w:val="none"/>
                <w:lang w:val="en-US" w:eastAsia="zh-CN" w:bidi="ar-SA"/>
              </w:rPr>
              <w:t>10</w:t>
            </w:r>
          </w:p>
        </w:tc>
        <w:tc>
          <w:tcPr>
            <w:tcW w:w="2021"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r>
              <w:rPr>
                <w:rFonts w:hint="default" w:ascii="Times New Roman" w:hAnsi="Times New Roman" w:cs="Times New Roman"/>
                <w:color w:val="auto"/>
                <w:highlight w:val="none"/>
                <w:lang w:val="en-US" w:eastAsia="zh-CN"/>
              </w:rPr>
              <w:t>4.0</w:t>
            </w:r>
          </w:p>
        </w:tc>
      </w:tr>
    </w:tbl>
    <w:p>
      <w:pPr>
        <w:spacing w:line="360" w:lineRule="auto"/>
        <w:ind w:firstLine="480" w:firstLineChars="200"/>
        <w:rPr>
          <w:rFonts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企业厂区内 VOCs 无组织排放监控点浓度</w:t>
      </w:r>
      <w:r>
        <w:rPr>
          <w:rFonts w:hint="eastAsia" w:ascii="Times New Roman" w:hAnsi="Times New Roman" w:cs="Times New Roman"/>
          <w:color w:val="auto"/>
          <w:sz w:val="24"/>
          <w:szCs w:val="24"/>
          <w:highlight w:val="none"/>
          <w:lang w:val="en-US" w:eastAsia="zh-CN"/>
        </w:rPr>
        <w:t>执行</w:t>
      </w:r>
      <w:r>
        <w:rPr>
          <w:rFonts w:hint="default" w:ascii="Times New Roman" w:hAnsi="Times New Roman" w:cs="Times New Roman"/>
          <w:color w:val="auto"/>
          <w:sz w:val="24"/>
          <w:szCs w:val="24"/>
          <w:highlight w:val="none"/>
          <w:lang w:val="en-US" w:eastAsia="zh-CN"/>
        </w:rPr>
        <w:t>《挥发性有机物无组织排放控制标准》（GB37822-2019）</w:t>
      </w:r>
      <w:r>
        <w:rPr>
          <w:rFonts w:hint="eastAsia" w:ascii="Times New Roman" w:hAnsi="Times New Roman" w:cs="Times New Roman"/>
          <w:color w:val="auto"/>
          <w:sz w:val="24"/>
          <w:szCs w:val="24"/>
          <w:highlight w:val="none"/>
          <w:lang w:val="en-US" w:eastAsia="zh-CN"/>
        </w:rPr>
        <w:t>表A.1</w:t>
      </w:r>
      <w:r>
        <w:rPr>
          <w:rFonts w:hint="default" w:ascii="Times New Roman" w:hAnsi="Times New Roman" w:cs="Times New Roman"/>
          <w:color w:val="auto"/>
          <w:sz w:val="24"/>
          <w:szCs w:val="24"/>
          <w:highlight w:val="none"/>
          <w:lang w:val="en-US" w:eastAsia="zh-CN"/>
        </w:rPr>
        <w:t>规定的特别排放限值</w:t>
      </w:r>
      <w:r>
        <w:rPr>
          <w:rFonts w:ascii="Times New Roman" w:hAnsi="Times New Roman" w:cs="Times New Roman"/>
          <w:color w:val="auto"/>
          <w:sz w:val="24"/>
          <w:szCs w:val="24"/>
          <w:highlight w:val="none"/>
        </w:rPr>
        <w:t>。具体见表6-2。</w:t>
      </w:r>
    </w:p>
    <w:p>
      <w:pPr>
        <w:jc w:val="center"/>
        <w:rPr>
          <w:rFonts w:hint="default" w:ascii="Times New Roman" w:hAnsi="Times New Roman" w:cs="Times New Roman"/>
          <w:b/>
          <w:color w:val="auto"/>
          <w:kern w:val="0"/>
          <w:sz w:val="24"/>
          <w:highlight w:val="none"/>
          <w:vertAlign w:val="superscript"/>
          <w:lang w:val="en-US" w:eastAsia="zh-CN"/>
        </w:rPr>
      </w:pPr>
      <w:r>
        <w:rPr>
          <w:rFonts w:ascii="Times New Roman" w:hAnsi="Times New Roman" w:cs="Times New Roman"/>
          <w:b/>
          <w:color w:val="auto"/>
          <w:kern w:val="0"/>
          <w:sz w:val="24"/>
          <w:highlight w:val="none"/>
        </w:rPr>
        <w:t xml:space="preserve">表 6-2  </w:t>
      </w:r>
      <w:r>
        <w:rPr>
          <w:rFonts w:hint="default" w:ascii="Times New Roman" w:hAnsi="Times New Roman" w:cs="Times New Roman"/>
          <w:b/>
          <w:color w:val="auto"/>
          <w:kern w:val="0"/>
          <w:sz w:val="24"/>
          <w:highlight w:val="none"/>
          <w:lang w:val="en-US" w:eastAsia="zh-CN"/>
        </w:rPr>
        <w:t>厂区内VOCs无组织排放限值  单位：mg/m</w:t>
      </w:r>
      <w:r>
        <w:rPr>
          <w:rFonts w:hint="default" w:ascii="Times New Roman" w:hAnsi="Times New Roman" w:cs="Times New Roman"/>
          <w:b/>
          <w:color w:val="auto"/>
          <w:kern w:val="0"/>
          <w:sz w:val="24"/>
          <w:highlight w:val="none"/>
          <w:vertAlign w:val="superscript"/>
          <w:lang w:val="en-US" w:eastAsia="zh-CN"/>
        </w:rPr>
        <w:t>3</w:t>
      </w:r>
    </w:p>
    <w:tbl>
      <w:tblPr>
        <w:tblStyle w:val="24"/>
        <w:tblW w:w="504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25"/>
        <w:gridCol w:w="1245"/>
        <w:gridCol w:w="1638"/>
        <w:gridCol w:w="2551"/>
        <w:gridCol w:w="21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6" w:type="pc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污染物项目</w:t>
            </w:r>
          </w:p>
        </w:tc>
        <w:tc>
          <w:tcPr>
            <w:tcW w:w="724" w:type="pc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排放限值</w:t>
            </w:r>
          </w:p>
        </w:tc>
        <w:tc>
          <w:tcPr>
            <w:tcW w:w="953" w:type="pc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特别排放限值</w:t>
            </w:r>
          </w:p>
        </w:tc>
        <w:tc>
          <w:tcPr>
            <w:tcW w:w="1484" w:type="pc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限值含义</w:t>
            </w:r>
          </w:p>
        </w:tc>
        <w:tc>
          <w:tcPr>
            <w:tcW w:w="1240" w:type="pc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无组织排放监控位置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6" w:type="pct"/>
            <w:vMerge w:val="restar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非甲烷总烃</w:t>
            </w:r>
          </w:p>
        </w:tc>
        <w:tc>
          <w:tcPr>
            <w:tcW w:w="724" w:type="pc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vertAlign w:val="baseline"/>
                <w:lang w:val="en-US" w:eastAsia="zh-CN"/>
              </w:rPr>
              <w:t>10</w:t>
            </w:r>
          </w:p>
        </w:tc>
        <w:tc>
          <w:tcPr>
            <w:tcW w:w="953" w:type="pc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vertAlign w:val="baseline"/>
                <w:lang w:val="en-US" w:eastAsia="zh-CN"/>
              </w:rPr>
              <w:t>6</w:t>
            </w:r>
          </w:p>
        </w:tc>
        <w:tc>
          <w:tcPr>
            <w:tcW w:w="1484" w:type="pc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监控点处1h平均浓度值</w:t>
            </w:r>
          </w:p>
        </w:tc>
        <w:tc>
          <w:tcPr>
            <w:tcW w:w="1240" w:type="pct"/>
            <w:vMerge w:val="restar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在厂房外设置监控点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6" w:type="pct"/>
            <w:vMerge w:val="continue"/>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24" w:type="pc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vertAlign w:val="baseline"/>
                <w:lang w:val="en-US" w:eastAsia="zh-CN"/>
              </w:rPr>
              <w:t>30</w:t>
            </w:r>
          </w:p>
        </w:tc>
        <w:tc>
          <w:tcPr>
            <w:tcW w:w="953" w:type="pc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vertAlign w:val="baseline"/>
                <w:lang w:val="en-US" w:eastAsia="zh-CN"/>
              </w:rPr>
              <w:t>20</w:t>
            </w:r>
          </w:p>
        </w:tc>
        <w:tc>
          <w:tcPr>
            <w:tcW w:w="1484" w:type="pc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监控点处任意一次浓度值</w:t>
            </w:r>
          </w:p>
        </w:tc>
        <w:tc>
          <w:tcPr>
            <w:tcW w:w="1240" w:type="pct"/>
            <w:vMerge w:val="continue"/>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bookmarkEnd w:id="46"/>
    </w:tbl>
    <w:p>
      <w:pPr>
        <w:pStyle w:val="4"/>
        <w:spacing w:before="0" w:after="0" w:line="360" w:lineRule="auto"/>
        <w:rPr>
          <w:rFonts w:ascii="Times New Roman" w:hAnsi="Times New Roman" w:cs="Times New Roman" w:eastAsiaTheme="minorEastAsia"/>
          <w:color w:val="auto"/>
          <w:sz w:val="24"/>
          <w:szCs w:val="24"/>
          <w:highlight w:val="none"/>
        </w:rPr>
      </w:pPr>
      <w:bookmarkStart w:id="47" w:name="_Toc11676"/>
      <w:bookmarkStart w:id="48" w:name="_Toc10324"/>
      <w:r>
        <w:rPr>
          <w:rFonts w:ascii="Times New Roman" w:hAnsi="Times New Roman" w:cs="Times New Roman" w:eastAsiaTheme="minorEastAsia"/>
          <w:color w:val="auto"/>
          <w:sz w:val="24"/>
          <w:szCs w:val="24"/>
          <w:highlight w:val="none"/>
        </w:rPr>
        <w:t>6.</w:t>
      </w:r>
      <w:r>
        <w:rPr>
          <w:rFonts w:hint="eastAsia" w:ascii="Times New Roman" w:hAnsi="Times New Roman" w:cs="Times New Roman" w:eastAsiaTheme="minorEastAsia"/>
          <w:color w:val="auto"/>
          <w:sz w:val="24"/>
          <w:szCs w:val="24"/>
          <w:highlight w:val="none"/>
        </w:rPr>
        <w:t>2废水</w:t>
      </w:r>
      <w:r>
        <w:rPr>
          <w:rFonts w:ascii="Times New Roman" w:hAnsi="Times New Roman" w:cs="Times New Roman" w:eastAsiaTheme="minorEastAsia"/>
          <w:color w:val="auto"/>
          <w:sz w:val="24"/>
          <w:szCs w:val="24"/>
          <w:highlight w:val="none"/>
        </w:rPr>
        <w:t>执行标准</w:t>
      </w:r>
      <w:bookmarkEnd w:id="47"/>
    </w:p>
    <w:p>
      <w:pPr>
        <w:adjustRightInd w:val="0"/>
        <w:snapToGrid w:val="0"/>
        <w:spacing w:line="348" w:lineRule="auto"/>
        <w:ind w:firstLine="480" w:firstLineChars="200"/>
        <w:rPr>
          <w:rFonts w:ascii="Times New Roman" w:hAnsi="Times New Roman"/>
          <w:bCs/>
          <w:color w:val="auto"/>
          <w:sz w:val="24"/>
          <w:szCs w:val="24"/>
          <w:highlight w:val="none"/>
        </w:rPr>
      </w:pPr>
      <w:r>
        <w:rPr>
          <w:rFonts w:hint="eastAsia" w:ascii="Times New Roman" w:hAnsi="Times New Roman"/>
          <w:bCs/>
          <w:color w:val="auto"/>
          <w:sz w:val="24"/>
          <w:szCs w:val="24"/>
          <w:highlight w:val="none"/>
        </w:rPr>
        <w:t>项目废水主要为</w:t>
      </w:r>
      <w:r>
        <w:rPr>
          <w:rFonts w:hint="eastAsia" w:ascii="Times New Roman" w:hAnsi="Times New Roman"/>
          <w:bCs/>
          <w:color w:val="auto"/>
          <w:sz w:val="24"/>
          <w:szCs w:val="24"/>
          <w:highlight w:val="none"/>
          <w:lang w:eastAsia="zh-CN"/>
        </w:rPr>
        <w:t>生产废水（</w:t>
      </w:r>
      <w:r>
        <w:rPr>
          <w:rFonts w:hint="default" w:ascii="Times New Roman" w:hAnsi="Times New Roman"/>
          <w:bCs/>
          <w:color w:val="auto"/>
          <w:sz w:val="24"/>
          <w:szCs w:val="24"/>
          <w:highlight w:val="none"/>
          <w:lang w:eastAsia="zh-CN"/>
        </w:rPr>
        <w:t>拆解预处理</w:t>
      </w:r>
      <w:r>
        <w:rPr>
          <w:rFonts w:hint="eastAsia" w:ascii="Times New Roman" w:hAnsi="Times New Roman"/>
          <w:bCs/>
          <w:color w:val="auto"/>
          <w:sz w:val="24"/>
          <w:szCs w:val="24"/>
          <w:highlight w:val="none"/>
          <w:lang w:eastAsia="zh-CN"/>
        </w:rPr>
        <w:t>废水、</w:t>
      </w:r>
      <w:r>
        <w:rPr>
          <w:rFonts w:hint="default" w:ascii="Times New Roman" w:hAnsi="Times New Roman"/>
          <w:bCs/>
          <w:color w:val="auto"/>
          <w:sz w:val="24"/>
          <w:szCs w:val="24"/>
          <w:highlight w:val="none"/>
          <w:lang w:eastAsia="zh-CN"/>
        </w:rPr>
        <w:t>拆解区地面冲洗</w:t>
      </w:r>
      <w:r>
        <w:rPr>
          <w:rFonts w:hint="eastAsia" w:ascii="Times New Roman" w:hAnsi="Times New Roman"/>
          <w:bCs/>
          <w:color w:val="auto"/>
          <w:sz w:val="24"/>
          <w:szCs w:val="24"/>
          <w:highlight w:val="none"/>
          <w:lang w:eastAsia="zh-CN"/>
        </w:rPr>
        <w:t>废水）和</w:t>
      </w:r>
      <w:r>
        <w:rPr>
          <w:rFonts w:hint="eastAsia" w:ascii="Times New Roman" w:hAnsi="Times New Roman"/>
          <w:bCs/>
          <w:color w:val="auto"/>
          <w:sz w:val="24"/>
          <w:szCs w:val="24"/>
          <w:highlight w:val="none"/>
        </w:rPr>
        <w:t>生活污水，</w:t>
      </w:r>
      <w:r>
        <w:rPr>
          <w:rFonts w:hint="eastAsia" w:ascii="Times New Roman" w:hAnsi="Times New Roman"/>
          <w:bCs/>
          <w:color w:val="auto"/>
          <w:sz w:val="24"/>
          <w:szCs w:val="24"/>
          <w:highlight w:val="none"/>
          <w:lang w:eastAsia="zh-CN"/>
        </w:rPr>
        <w:t>生产废水经隔油沉淀处理后汇同</w:t>
      </w:r>
      <w:r>
        <w:rPr>
          <w:rFonts w:hint="eastAsia" w:ascii="Times New Roman" w:hAnsi="Times New Roman"/>
          <w:bCs/>
          <w:color w:val="auto"/>
          <w:sz w:val="24"/>
          <w:szCs w:val="24"/>
          <w:highlight w:val="none"/>
        </w:rPr>
        <w:t>经化粪池处理</w:t>
      </w:r>
      <w:r>
        <w:rPr>
          <w:rFonts w:hint="eastAsia" w:ascii="Times New Roman" w:hAnsi="Times New Roman"/>
          <w:bCs/>
          <w:color w:val="auto"/>
          <w:sz w:val="24"/>
          <w:szCs w:val="24"/>
          <w:highlight w:val="none"/>
          <w:lang w:eastAsia="zh-CN"/>
        </w:rPr>
        <w:t>过的生活污水</w:t>
      </w:r>
      <w:r>
        <w:rPr>
          <w:rFonts w:hint="eastAsia" w:ascii="Times New Roman" w:hAnsi="Times New Roman"/>
          <w:bCs/>
          <w:color w:val="auto"/>
          <w:sz w:val="24"/>
          <w:szCs w:val="24"/>
          <w:highlight w:val="none"/>
        </w:rPr>
        <w:t>达到GB8978-1996《污水综合排放标准》中三级标准后纳管，其中氨氮、总磷执行DB33/887-2013《工业企业废水氮、磷污染物间接排放限值》中的标准限值。最终经</w:t>
      </w:r>
      <w:r>
        <w:rPr>
          <w:rFonts w:hint="eastAsia" w:ascii="Times New Roman" w:hAnsi="Times New Roman"/>
          <w:bCs/>
          <w:color w:val="auto"/>
          <w:sz w:val="24"/>
          <w:szCs w:val="24"/>
          <w:highlight w:val="none"/>
          <w:lang w:eastAsia="zh-CN"/>
        </w:rPr>
        <w:t>新周污水处理厂</w:t>
      </w:r>
      <w:r>
        <w:rPr>
          <w:rFonts w:hint="eastAsia" w:ascii="Times New Roman" w:hAnsi="Times New Roman"/>
          <w:bCs/>
          <w:color w:val="auto"/>
          <w:sz w:val="24"/>
          <w:szCs w:val="24"/>
          <w:highlight w:val="none"/>
        </w:rPr>
        <w:t>处理达到《城镇污水处理厂污染物排放标准》（GB18918-2002）一级A标</w:t>
      </w:r>
      <w:r>
        <w:rPr>
          <w:rFonts w:ascii="Times New Roman" w:hAnsi="Times New Roman" w:cs="Times New Roman"/>
          <w:bCs/>
          <w:color w:val="auto"/>
          <w:sz w:val="24"/>
          <w:szCs w:val="24"/>
          <w:highlight w:val="none"/>
        </w:rPr>
        <w:t>准</w:t>
      </w:r>
      <w:r>
        <w:rPr>
          <w:rFonts w:ascii="Times New Roman" w:hAnsi="Times New Roman" w:cs="Times New Roman"/>
          <w:color w:val="auto"/>
          <w:sz w:val="24"/>
          <w:highlight w:val="none"/>
        </w:rPr>
        <w:t>及甬环发【2019】39号文件要</w:t>
      </w:r>
      <w:r>
        <w:rPr>
          <w:rFonts w:hint="eastAsia" w:ascii="Arial" w:hAnsi="Arial" w:cs="Arial"/>
          <w:color w:val="auto"/>
          <w:sz w:val="24"/>
          <w:highlight w:val="none"/>
        </w:rPr>
        <w:t>求后排</w:t>
      </w:r>
      <w:r>
        <w:rPr>
          <w:rFonts w:hint="eastAsia" w:ascii="Arial" w:hAnsi="Arial" w:cs="Arial"/>
          <w:color w:val="auto"/>
          <w:sz w:val="24"/>
          <w:highlight w:val="none"/>
          <w:lang w:eastAsia="zh-CN"/>
        </w:rPr>
        <w:t>放</w:t>
      </w:r>
      <w:r>
        <w:rPr>
          <w:rFonts w:hint="eastAsia" w:ascii="Times New Roman" w:hAnsi="Times New Roman"/>
          <w:bCs/>
          <w:color w:val="auto"/>
          <w:sz w:val="24"/>
          <w:szCs w:val="24"/>
          <w:highlight w:val="none"/>
        </w:rPr>
        <w:t>，具体指标详见表6-3。</w:t>
      </w:r>
    </w:p>
    <w:p>
      <w:pPr>
        <w:adjustRightInd w:val="0"/>
        <w:snapToGrid w:val="0"/>
        <w:jc w:val="center"/>
        <w:rPr>
          <w:rFonts w:ascii="Times New Roman" w:hAnsi="Times New Roman"/>
          <w:b/>
          <w:color w:val="auto"/>
          <w:sz w:val="24"/>
          <w:szCs w:val="24"/>
          <w:highlight w:val="none"/>
        </w:rPr>
      </w:pPr>
      <w:r>
        <w:rPr>
          <w:rFonts w:ascii="Times New Roman" w:hAnsi="Times New Roman"/>
          <w:b/>
          <w:color w:val="auto"/>
          <w:sz w:val="24"/>
          <w:szCs w:val="24"/>
          <w:highlight w:val="none"/>
        </w:rPr>
        <w:t>表</w:t>
      </w:r>
      <w:r>
        <w:rPr>
          <w:rFonts w:hint="eastAsia" w:ascii="Times New Roman" w:hAnsi="Times New Roman"/>
          <w:b/>
          <w:color w:val="auto"/>
          <w:sz w:val="24"/>
          <w:szCs w:val="24"/>
          <w:highlight w:val="none"/>
        </w:rPr>
        <w:t>6</w:t>
      </w:r>
      <w:r>
        <w:rPr>
          <w:rFonts w:ascii="Times New Roman" w:hAnsi="Times New Roman"/>
          <w:b/>
          <w:color w:val="auto"/>
          <w:sz w:val="24"/>
          <w:szCs w:val="24"/>
          <w:highlight w:val="none"/>
        </w:rPr>
        <w:t>-</w:t>
      </w:r>
      <w:r>
        <w:rPr>
          <w:rFonts w:hint="eastAsia" w:ascii="Times New Roman" w:hAnsi="Times New Roman"/>
          <w:b/>
          <w:color w:val="auto"/>
          <w:sz w:val="24"/>
          <w:szCs w:val="24"/>
          <w:highlight w:val="none"/>
        </w:rPr>
        <w:t>3</w:t>
      </w:r>
      <w:r>
        <w:rPr>
          <w:rFonts w:ascii="Times New Roman" w:hAnsi="Times New Roman"/>
          <w:b/>
          <w:color w:val="auto"/>
          <w:sz w:val="24"/>
          <w:szCs w:val="24"/>
          <w:highlight w:val="none"/>
        </w:rPr>
        <w:t xml:space="preserve">  废水排放标准</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1"/>
        <w:gridCol w:w="2212"/>
        <w:gridCol w:w="1080"/>
        <w:gridCol w:w="1254"/>
        <w:gridCol w:w="1480"/>
        <w:gridCol w:w="17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35" w:type="pct"/>
            <w:tcBorders>
              <w:tl2br w:val="nil"/>
              <w:tr2bl w:val="nil"/>
            </w:tcBorders>
            <w:noWrap/>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序号</w:t>
            </w:r>
          </w:p>
        </w:tc>
        <w:tc>
          <w:tcPr>
            <w:tcW w:w="1299" w:type="pct"/>
            <w:tcBorders>
              <w:tl2br w:val="nil"/>
              <w:tr2bl w:val="nil"/>
            </w:tcBorders>
            <w:noWrap/>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监测项目</w:t>
            </w:r>
          </w:p>
        </w:tc>
        <w:tc>
          <w:tcPr>
            <w:tcW w:w="634" w:type="pct"/>
            <w:tcBorders>
              <w:tl2br w:val="nil"/>
              <w:tr2bl w:val="nil"/>
            </w:tcBorders>
            <w:noWrap/>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单位</w:t>
            </w:r>
          </w:p>
        </w:tc>
        <w:tc>
          <w:tcPr>
            <w:tcW w:w="736" w:type="pct"/>
            <w:tcBorders>
              <w:tl2br w:val="nil"/>
              <w:tr2bl w:val="nil"/>
            </w:tcBorders>
            <w:noWrap/>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三级标准</w:t>
            </w:r>
          </w:p>
        </w:tc>
        <w:tc>
          <w:tcPr>
            <w:tcW w:w="869" w:type="pct"/>
            <w:tcBorders>
              <w:tl2br w:val="nil"/>
              <w:tr2bl w:val="nil"/>
            </w:tcBorders>
            <w:noWrap/>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一级A标准</w:t>
            </w:r>
          </w:p>
        </w:tc>
        <w:tc>
          <w:tcPr>
            <w:tcW w:w="1025" w:type="pct"/>
            <w:tcBorders>
              <w:tl2br w:val="nil"/>
              <w:tr2bl w:val="nil"/>
            </w:tcBorders>
            <w:noWrap/>
            <w:vAlign w:val="center"/>
          </w:tcPr>
          <w:p>
            <w:pPr>
              <w:jc w:val="center"/>
              <w:rPr>
                <w:rFonts w:ascii="Times New Roman" w:hAnsi="Times New Roman"/>
                <w:b/>
                <w:color w:val="auto"/>
                <w:szCs w:val="21"/>
                <w:highlight w:val="none"/>
              </w:rPr>
            </w:pPr>
            <w:r>
              <w:rPr>
                <w:rFonts w:hint="eastAsia" w:ascii="Times New Roman" w:hAnsi="Times New Roman"/>
                <w:b/>
                <w:color w:val="auto"/>
                <w:szCs w:val="21"/>
                <w:highlight w:val="none"/>
              </w:rPr>
              <w:t>甬环发</w:t>
            </w:r>
          </w:p>
          <w:p>
            <w:pPr>
              <w:jc w:val="center"/>
              <w:rPr>
                <w:rFonts w:ascii="Times New Roman" w:hAnsi="Times New Roman"/>
                <w:b/>
                <w:color w:val="auto"/>
                <w:szCs w:val="21"/>
                <w:highlight w:val="none"/>
              </w:rPr>
            </w:pPr>
            <w:r>
              <w:rPr>
                <w:rFonts w:hint="eastAsia" w:ascii="Times New Roman" w:hAnsi="Times New Roman"/>
                <w:b/>
                <w:color w:val="auto"/>
                <w:szCs w:val="21"/>
                <w:highlight w:val="none"/>
              </w:rPr>
              <w:t>【2019】39号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pct"/>
            <w:tcBorders>
              <w:tl2br w:val="nil"/>
              <w:tr2bl w:val="nil"/>
            </w:tcBorders>
            <w:noWrap/>
            <w:vAlign w:val="center"/>
          </w:tcPr>
          <w:p>
            <w:pPr>
              <w:jc w:val="center"/>
              <w:rPr>
                <w:rFonts w:ascii="Times New Roman" w:hAnsi="Times New Roman"/>
                <w:color w:val="auto"/>
                <w:szCs w:val="21"/>
                <w:highlight w:val="none"/>
              </w:rPr>
            </w:pPr>
            <w:r>
              <w:rPr>
                <w:rFonts w:ascii="Times New Roman" w:hAnsi="Times New Roman"/>
                <w:color w:val="auto"/>
                <w:kern w:val="0"/>
                <w:szCs w:val="21"/>
                <w:highlight w:val="none"/>
              </w:rPr>
              <w:t>1</w:t>
            </w:r>
          </w:p>
        </w:tc>
        <w:tc>
          <w:tcPr>
            <w:tcW w:w="1299" w:type="pct"/>
            <w:tcBorders>
              <w:tl2br w:val="nil"/>
              <w:tr2bl w:val="nil"/>
            </w:tcBorders>
            <w:noWrap/>
            <w:vAlign w:val="center"/>
          </w:tcPr>
          <w:p>
            <w:pPr>
              <w:pStyle w:val="43"/>
              <w:rPr>
                <w:rFonts w:hint="eastAsia" w:ascii="Times New Roman" w:hAnsi="Times New Roman" w:eastAsia="宋体"/>
                <w:color w:val="auto"/>
                <w:sz w:val="21"/>
                <w:szCs w:val="21"/>
                <w:highlight w:val="none"/>
                <w:lang w:eastAsia="zh-CN"/>
              </w:rPr>
            </w:pPr>
            <w:r>
              <w:rPr>
                <w:rFonts w:hint="eastAsia" w:ascii="Times New Roman" w:hAnsi="Times New Roman" w:eastAsia="宋体"/>
                <w:color w:val="auto"/>
                <w:sz w:val="21"/>
                <w:szCs w:val="21"/>
                <w:highlight w:val="none"/>
                <w:lang w:eastAsia="zh-CN"/>
              </w:rPr>
              <w:t>pH值</w:t>
            </w:r>
          </w:p>
        </w:tc>
        <w:tc>
          <w:tcPr>
            <w:tcW w:w="634" w:type="pct"/>
            <w:tcBorders>
              <w:tl2br w:val="nil"/>
              <w:tr2bl w:val="nil"/>
            </w:tcBorders>
            <w:noWrap/>
            <w:vAlign w:val="center"/>
          </w:tcPr>
          <w:p>
            <w:pPr>
              <w:pStyle w:val="43"/>
              <w:rPr>
                <w:rFonts w:hint="eastAsia" w:ascii="Times New Roman" w:hAnsi="Times New Roman" w:eastAsia="宋体"/>
                <w:color w:val="auto"/>
                <w:sz w:val="21"/>
                <w:szCs w:val="21"/>
                <w:highlight w:val="none"/>
                <w:lang w:eastAsia="zh-CN"/>
              </w:rPr>
            </w:pPr>
            <w:r>
              <w:rPr>
                <w:rFonts w:hint="eastAsia" w:ascii="Times New Roman" w:hAnsi="Times New Roman" w:eastAsia="宋体"/>
                <w:color w:val="auto"/>
                <w:sz w:val="21"/>
                <w:szCs w:val="21"/>
                <w:highlight w:val="none"/>
                <w:lang w:eastAsia="zh-CN"/>
              </w:rPr>
              <w:t>无量纲</w:t>
            </w:r>
          </w:p>
        </w:tc>
        <w:tc>
          <w:tcPr>
            <w:tcW w:w="736" w:type="pct"/>
            <w:tcBorders>
              <w:tl2br w:val="nil"/>
              <w:tr2bl w:val="nil"/>
            </w:tcBorders>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6～9</w:t>
            </w:r>
          </w:p>
        </w:tc>
        <w:tc>
          <w:tcPr>
            <w:tcW w:w="869" w:type="pct"/>
            <w:tcBorders>
              <w:tl2br w:val="nil"/>
              <w:tr2bl w:val="nil"/>
            </w:tcBorders>
            <w:noWrap/>
            <w:vAlign w:val="center"/>
          </w:tcPr>
          <w:p>
            <w:pPr>
              <w:jc w:val="center"/>
              <w:rPr>
                <w:rFonts w:ascii="Times New Roman" w:hAnsi="Times New Roman"/>
                <w:color w:val="auto"/>
                <w:szCs w:val="21"/>
                <w:highlight w:val="none"/>
              </w:rPr>
            </w:pPr>
            <w:r>
              <w:rPr>
                <w:rFonts w:ascii="Times New Roman" w:hAnsi="Times New Roman"/>
                <w:bCs/>
                <w:color w:val="auto"/>
                <w:szCs w:val="21"/>
                <w:highlight w:val="none"/>
              </w:rPr>
              <w:t>6</w:t>
            </w:r>
            <w:r>
              <w:rPr>
                <w:rFonts w:ascii="Times New Roman" w:hAnsi="Times New Roman"/>
                <w:color w:val="auto"/>
                <w:szCs w:val="21"/>
                <w:highlight w:val="none"/>
              </w:rPr>
              <w:t>～</w:t>
            </w:r>
            <w:r>
              <w:rPr>
                <w:rFonts w:ascii="Times New Roman" w:hAnsi="Times New Roman"/>
                <w:bCs/>
                <w:color w:val="auto"/>
                <w:szCs w:val="21"/>
                <w:highlight w:val="none"/>
              </w:rPr>
              <w:t>9</w:t>
            </w:r>
          </w:p>
        </w:tc>
        <w:tc>
          <w:tcPr>
            <w:tcW w:w="1025" w:type="pct"/>
            <w:tcBorders>
              <w:tl2br w:val="nil"/>
              <w:tr2bl w:val="nil"/>
            </w:tcBorders>
            <w:noWrap/>
            <w:vAlign w:val="center"/>
          </w:tcPr>
          <w:p>
            <w:pPr>
              <w:jc w:val="center"/>
              <w:rPr>
                <w:rFonts w:ascii="Times New Roman" w:hAnsi="Times New Roman" w:eastAsia="宋体"/>
                <w:bCs/>
                <w:color w:val="auto"/>
                <w:szCs w:val="21"/>
                <w:highlight w:val="none"/>
              </w:rPr>
            </w:pPr>
            <w:r>
              <w:rPr>
                <w:rFonts w:hint="eastAsia" w:ascii="Times New Roman" w:hAnsi="Times New Roman"/>
                <w:bCs/>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pct"/>
            <w:tcBorders>
              <w:tl2br w:val="nil"/>
              <w:tr2bl w:val="nil"/>
            </w:tcBorders>
            <w:noWrap/>
            <w:vAlign w:val="center"/>
          </w:tcPr>
          <w:p>
            <w:pPr>
              <w:jc w:val="center"/>
              <w:rPr>
                <w:rFonts w:ascii="Times New Roman" w:hAnsi="Times New Roman"/>
                <w:color w:val="auto"/>
                <w:kern w:val="0"/>
                <w:szCs w:val="21"/>
                <w:highlight w:val="none"/>
              </w:rPr>
            </w:pPr>
            <w:r>
              <w:rPr>
                <w:rFonts w:ascii="Times New Roman" w:hAnsi="Times New Roman"/>
                <w:color w:val="auto"/>
                <w:kern w:val="0"/>
                <w:szCs w:val="21"/>
                <w:highlight w:val="none"/>
              </w:rPr>
              <w:t>2</w:t>
            </w:r>
          </w:p>
        </w:tc>
        <w:tc>
          <w:tcPr>
            <w:tcW w:w="1299" w:type="pct"/>
            <w:tcBorders>
              <w:tl2br w:val="nil"/>
              <w:tr2bl w:val="nil"/>
            </w:tcBorders>
            <w:noWrap/>
            <w:vAlign w:val="center"/>
          </w:tcPr>
          <w:p>
            <w:pPr>
              <w:pStyle w:val="43"/>
              <w:rPr>
                <w:rFonts w:hint="eastAsia" w:ascii="Times New Roman" w:hAnsi="Times New Roman" w:eastAsia="宋体"/>
                <w:color w:val="auto"/>
                <w:sz w:val="21"/>
                <w:szCs w:val="21"/>
                <w:highlight w:val="none"/>
                <w:lang w:eastAsia="zh-CN"/>
              </w:rPr>
            </w:pPr>
            <w:r>
              <w:rPr>
                <w:rFonts w:hint="eastAsia" w:ascii="Times New Roman" w:hAnsi="Times New Roman" w:eastAsia="宋体"/>
                <w:color w:val="auto"/>
                <w:sz w:val="21"/>
                <w:szCs w:val="21"/>
                <w:highlight w:val="none"/>
                <w:lang w:eastAsia="zh-CN"/>
              </w:rPr>
              <w:t>悬浮物</w:t>
            </w:r>
          </w:p>
        </w:tc>
        <w:tc>
          <w:tcPr>
            <w:tcW w:w="634" w:type="pct"/>
            <w:tcBorders>
              <w:tl2br w:val="nil"/>
              <w:tr2bl w:val="nil"/>
            </w:tcBorders>
            <w:noWrap/>
            <w:vAlign w:val="center"/>
          </w:tcPr>
          <w:p>
            <w:pPr>
              <w:pStyle w:val="43"/>
              <w:rPr>
                <w:rFonts w:hint="eastAsia" w:ascii="Times New Roman" w:hAnsi="Times New Roman" w:eastAsia="宋体"/>
                <w:color w:val="auto"/>
                <w:sz w:val="21"/>
                <w:szCs w:val="21"/>
                <w:highlight w:val="none"/>
                <w:lang w:eastAsia="zh-CN"/>
              </w:rPr>
            </w:pPr>
            <w:r>
              <w:rPr>
                <w:rFonts w:hint="eastAsia" w:ascii="Times New Roman" w:hAnsi="Times New Roman" w:eastAsia="宋体"/>
                <w:color w:val="auto"/>
                <w:sz w:val="21"/>
                <w:szCs w:val="21"/>
                <w:highlight w:val="none"/>
                <w:lang w:eastAsia="zh-CN"/>
              </w:rPr>
              <w:t>mg/L</w:t>
            </w:r>
          </w:p>
        </w:tc>
        <w:tc>
          <w:tcPr>
            <w:tcW w:w="736" w:type="pct"/>
            <w:tcBorders>
              <w:tl2br w:val="nil"/>
              <w:tr2bl w:val="nil"/>
            </w:tcBorders>
            <w:noWrap/>
            <w:vAlign w:val="center"/>
          </w:tcPr>
          <w:p>
            <w:pPr>
              <w:jc w:val="center"/>
              <w:rPr>
                <w:rFonts w:ascii="Times New Roman" w:hAnsi="Times New Roman" w:eastAsia="宋体"/>
                <w:color w:val="auto"/>
                <w:szCs w:val="21"/>
                <w:highlight w:val="none"/>
              </w:rPr>
            </w:pPr>
            <w:r>
              <w:rPr>
                <w:rFonts w:ascii="Times New Roman" w:hAnsi="Times New Roman"/>
                <w:color w:val="auto"/>
                <w:szCs w:val="21"/>
                <w:highlight w:val="none"/>
              </w:rPr>
              <w:t>≤</w:t>
            </w:r>
            <w:r>
              <w:rPr>
                <w:rFonts w:hint="eastAsia" w:ascii="Times New Roman" w:hAnsi="Times New Roman"/>
                <w:color w:val="auto"/>
                <w:szCs w:val="21"/>
                <w:highlight w:val="none"/>
              </w:rPr>
              <w:t>400</w:t>
            </w:r>
          </w:p>
        </w:tc>
        <w:tc>
          <w:tcPr>
            <w:tcW w:w="869" w:type="pct"/>
            <w:tcBorders>
              <w:tl2br w:val="nil"/>
              <w:tr2bl w:val="nil"/>
            </w:tcBorders>
            <w:noWrap/>
            <w:vAlign w:val="center"/>
          </w:tcPr>
          <w:p>
            <w:pPr>
              <w:jc w:val="center"/>
              <w:rPr>
                <w:rFonts w:ascii="Times New Roman" w:hAnsi="Times New Roman" w:eastAsia="宋体"/>
                <w:color w:val="auto"/>
                <w:szCs w:val="21"/>
                <w:highlight w:val="none"/>
              </w:rPr>
            </w:pPr>
            <w:r>
              <w:rPr>
                <w:rFonts w:ascii="Times New Roman" w:hAnsi="Times New Roman"/>
                <w:color w:val="auto"/>
                <w:szCs w:val="21"/>
                <w:highlight w:val="none"/>
              </w:rPr>
              <w:t>≤</w:t>
            </w:r>
            <w:r>
              <w:rPr>
                <w:rFonts w:hint="eastAsia" w:ascii="Times New Roman" w:hAnsi="Times New Roman"/>
                <w:color w:val="auto"/>
                <w:szCs w:val="21"/>
                <w:highlight w:val="none"/>
              </w:rPr>
              <w:t>10</w:t>
            </w:r>
          </w:p>
        </w:tc>
        <w:tc>
          <w:tcPr>
            <w:tcW w:w="1025" w:type="pct"/>
            <w:tcBorders>
              <w:tl2br w:val="nil"/>
              <w:tr2bl w:val="nil"/>
            </w:tcBorders>
            <w:noWrap/>
            <w:vAlign w:val="center"/>
          </w:tcPr>
          <w:p>
            <w:pPr>
              <w:jc w:val="center"/>
              <w:rPr>
                <w:rFonts w:ascii="Times New Roman" w:hAnsi="Times New Roman" w:eastAsia="宋体"/>
                <w:color w:val="auto"/>
                <w:szCs w:val="21"/>
                <w:highlight w:val="none"/>
              </w:rPr>
            </w:pPr>
            <w:r>
              <w:rPr>
                <w:rFonts w:hint="eastAsia" w:ascii="Times New Roman" w:hAnsi="Times New Roman"/>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pct"/>
            <w:tcBorders>
              <w:tl2br w:val="nil"/>
              <w:tr2bl w:val="nil"/>
            </w:tcBorders>
            <w:noWrap/>
            <w:vAlign w:val="center"/>
          </w:tcPr>
          <w:p>
            <w:pPr>
              <w:jc w:val="center"/>
              <w:rPr>
                <w:rFonts w:ascii="Times New Roman" w:hAnsi="Times New Roman"/>
                <w:color w:val="auto"/>
                <w:szCs w:val="21"/>
                <w:highlight w:val="none"/>
              </w:rPr>
            </w:pPr>
            <w:r>
              <w:rPr>
                <w:rFonts w:ascii="Times New Roman" w:hAnsi="Times New Roman"/>
                <w:color w:val="auto"/>
                <w:kern w:val="0"/>
                <w:szCs w:val="21"/>
                <w:highlight w:val="none"/>
              </w:rPr>
              <w:t>3</w:t>
            </w:r>
          </w:p>
        </w:tc>
        <w:tc>
          <w:tcPr>
            <w:tcW w:w="1299" w:type="pct"/>
            <w:tcBorders>
              <w:tl2br w:val="nil"/>
              <w:tr2bl w:val="nil"/>
            </w:tcBorders>
            <w:noWrap/>
            <w:vAlign w:val="center"/>
          </w:tcPr>
          <w:p>
            <w:pPr>
              <w:pStyle w:val="43"/>
              <w:rPr>
                <w:rFonts w:hint="eastAsia" w:ascii="Times New Roman" w:hAnsi="Times New Roman" w:eastAsia="宋体"/>
                <w:color w:val="auto"/>
                <w:sz w:val="21"/>
                <w:szCs w:val="21"/>
                <w:highlight w:val="none"/>
                <w:lang w:eastAsia="zh-CN"/>
              </w:rPr>
            </w:pPr>
            <w:r>
              <w:rPr>
                <w:rFonts w:hint="eastAsia" w:ascii="Times New Roman" w:hAnsi="Times New Roman" w:eastAsia="宋体"/>
                <w:color w:val="auto"/>
                <w:sz w:val="21"/>
                <w:szCs w:val="21"/>
                <w:highlight w:val="none"/>
                <w:lang w:eastAsia="zh-CN"/>
              </w:rPr>
              <w:t>化学需氧量</w:t>
            </w:r>
          </w:p>
        </w:tc>
        <w:tc>
          <w:tcPr>
            <w:tcW w:w="634" w:type="pct"/>
            <w:tcBorders>
              <w:tl2br w:val="nil"/>
              <w:tr2bl w:val="nil"/>
            </w:tcBorders>
            <w:noWrap/>
            <w:vAlign w:val="center"/>
          </w:tcPr>
          <w:p>
            <w:pPr>
              <w:pStyle w:val="43"/>
              <w:rPr>
                <w:rFonts w:hint="eastAsia" w:ascii="Times New Roman" w:hAnsi="Times New Roman" w:eastAsia="宋体"/>
                <w:color w:val="auto"/>
                <w:sz w:val="21"/>
                <w:szCs w:val="21"/>
                <w:highlight w:val="none"/>
                <w:lang w:eastAsia="zh-CN"/>
              </w:rPr>
            </w:pPr>
            <w:r>
              <w:rPr>
                <w:rFonts w:hint="eastAsia" w:ascii="Times New Roman" w:hAnsi="Times New Roman" w:eastAsia="宋体"/>
                <w:color w:val="auto"/>
                <w:sz w:val="21"/>
                <w:szCs w:val="21"/>
                <w:highlight w:val="none"/>
                <w:lang w:eastAsia="zh-CN"/>
              </w:rPr>
              <w:t>mg/L</w:t>
            </w:r>
          </w:p>
        </w:tc>
        <w:tc>
          <w:tcPr>
            <w:tcW w:w="736" w:type="pct"/>
            <w:tcBorders>
              <w:tl2br w:val="nil"/>
              <w:tr2bl w:val="nil"/>
            </w:tcBorders>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≤500</w:t>
            </w:r>
          </w:p>
        </w:tc>
        <w:tc>
          <w:tcPr>
            <w:tcW w:w="869" w:type="pct"/>
            <w:tcBorders>
              <w:tl2br w:val="nil"/>
              <w:tr2bl w:val="nil"/>
            </w:tcBorders>
            <w:noWrap/>
            <w:vAlign w:val="center"/>
          </w:tcPr>
          <w:p>
            <w:pPr>
              <w:jc w:val="center"/>
              <w:rPr>
                <w:rFonts w:hint="default" w:ascii="Times New Roman" w:hAnsi="Times New Roman" w:eastAsiaTheme="minorEastAsia"/>
                <w:color w:val="auto"/>
                <w:szCs w:val="21"/>
                <w:highlight w:val="none"/>
                <w:lang w:val="en-US" w:eastAsia="zh-CN"/>
              </w:rPr>
            </w:pPr>
            <w:r>
              <w:rPr>
                <w:rFonts w:ascii="Times New Roman" w:hAnsi="Times New Roman"/>
                <w:color w:val="auto"/>
                <w:szCs w:val="21"/>
                <w:highlight w:val="none"/>
              </w:rPr>
              <w:t>≤</w:t>
            </w:r>
            <w:r>
              <w:rPr>
                <w:rFonts w:hint="eastAsia" w:ascii="Times New Roman" w:hAnsi="Times New Roman"/>
                <w:bCs/>
                <w:color w:val="auto"/>
                <w:szCs w:val="21"/>
                <w:highlight w:val="none"/>
                <w:lang w:val="en-US" w:eastAsia="zh-CN"/>
              </w:rPr>
              <w:t>50</w:t>
            </w:r>
          </w:p>
        </w:tc>
        <w:tc>
          <w:tcPr>
            <w:tcW w:w="1025" w:type="pct"/>
            <w:tcBorders>
              <w:tl2br w:val="nil"/>
              <w:tr2bl w:val="nil"/>
            </w:tcBorders>
            <w:noWrap/>
            <w:vAlign w:val="center"/>
          </w:tcPr>
          <w:p>
            <w:pPr>
              <w:jc w:val="center"/>
              <w:rPr>
                <w:rFonts w:ascii="Times New Roman" w:hAnsi="Times New Roman" w:eastAsia="宋体"/>
                <w:color w:val="auto"/>
                <w:szCs w:val="21"/>
                <w:highlight w:val="none"/>
              </w:rPr>
            </w:pPr>
            <w:r>
              <w:rPr>
                <w:rFonts w:ascii="Times New Roman" w:hAnsi="Times New Roman"/>
                <w:color w:val="auto"/>
                <w:szCs w:val="21"/>
                <w:highlight w:val="none"/>
              </w:rPr>
              <w:t>≤</w:t>
            </w:r>
            <w:r>
              <w:rPr>
                <w:rFonts w:hint="eastAsia" w:ascii="Times New Roman" w:hAnsi="Times New Roman"/>
                <w:color w:val="auto"/>
                <w:szCs w:val="21"/>
                <w:highlight w:val="none"/>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pct"/>
            <w:tcBorders>
              <w:tl2br w:val="nil"/>
              <w:tr2bl w:val="nil"/>
            </w:tcBorders>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w:t>
            </w:r>
          </w:p>
        </w:tc>
        <w:tc>
          <w:tcPr>
            <w:tcW w:w="1299" w:type="pct"/>
            <w:tcBorders>
              <w:tl2br w:val="nil"/>
              <w:tr2bl w:val="nil"/>
            </w:tcBorders>
            <w:noWrap/>
            <w:vAlign w:val="center"/>
          </w:tcPr>
          <w:p>
            <w:pPr>
              <w:pStyle w:val="43"/>
              <w:rPr>
                <w:rFonts w:hint="eastAsia" w:ascii="Times New Roman" w:hAnsi="Times New Roman" w:eastAsia="宋体"/>
                <w:color w:val="auto"/>
                <w:sz w:val="21"/>
                <w:szCs w:val="21"/>
                <w:highlight w:val="none"/>
                <w:lang w:eastAsia="zh-CN"/>
              </w:rPr>
            </w:pPr>
            <w:r>
              <w:rPr>
                <w:rFonts w:hint="eastAsia" w:ascii="Times New Roman" w:hAnsi="Times New Roman" w:eastAsia="宋体"/>
                <w:color w:val="auto"/>
                <w:sz w:val="21"/>
                <w:szCs w:val="21"/>
                <w:highlight w:val="none"/>
                <w:lang w:eastAsia="zh-CN"/>
              </w:rPr>
              <w:t>五日生化需氧量</w:t>
            </w:r>
          </w:p>
        </w:tc>
        <w:tc>
          <w:tcPr>
            <w:tcW w:w="634" w:type="pct"/>
            <w:tcBorders>
              <w:tl2br w:val="nil"/>
              <w:tr2bl w:val="nil"/>
            </w:tcBorders>
            <w:noWrap/>
            <w:vAlign w:val="center"/>
          </w:tcPr>
          <w:p>
            <w:pPr>
              <w:pStyle w:val="43"/>
              <w:rPr>
                <w:rFonts w:hint="eastAsia" w:ascii="Times New Roman" w:hAnsi="Times New Roman" w:eastAsia="宋体"/>
                <w:color w:val="auto"/>
                <w:sz w:val="21"/>
                <w:szCs w:val="21"/>
                <w:highlight w:val="none"/>
                <w:lang w:eastAsia="zh-CN"/>
              </w:rPr>
            </w:pPr>
            <w:r>
              <w:rPr>
                <w:rFonts w:hint="eastAsia" w:ascii="Times New Roman" w:hAnsi="Times New Roman" w:eastAsia="宋体"/>
                <w:color w:val="auto"/>
                <w:sz w:val="21"/>
                <w:szCs w:val="21"/>
                <w:highlight w:val="none"/>
                <w:lang w:eastAsia="zh-CN"/>
              </w:rPr>
              <w:t>mg/L</w:t>
            </w:r>
          </w:p>
        </w:tc>
        <w:tc>
          <w:tcPr>
            <w:tcW w:w="736" w:type="pct"/>
            <w:tcBorders>
              <w:tl2br w:val="nil"/>
              <w:tr2bl w:val="nil"/>
            </w:tcBorders>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≤300</w:t>
            </w:r>
          </w:p>
        </w:tc>
        <w:tc>
          <w:tcPr>
            <w:tcW w:w="869" w:type="pct"/>
            <w:tcBorders>
              <w:tl2br w:val="nil"/>
              <w:tr2bl w:val="nil"/>
            </w:tcBorders>
            <w:noWrap/>
            <w:vAlign w:val="center"/>
          </w:tcPr>
          <w:p>
            <w:pPr>
              <w:jc w:val="center"/>
              <w:rPr>
                <w:rFonts w:ascii="Times New Roman" w:hAnsi="Times New Roman" w:eastAsia="宋体"/>
                <w:color w:val="auto"/>
                <w:szCs w:val="21"/>
                <w:highlight w:val="none"/>
              </w:rPr>
            </w:pPr>
            <w:r>
              <w:rPr>
                <w:rFonts w:ascii="Times New Roman" w:hAnsi="Times New Roman"/>
                <w:color w:val="auto"/>
                <w:szCs w:val="21"/>
                <w:highlight w:val="none"/>
              </w:rPr>
              <w:t>≤</w:t>
            </w:r>
            <w:r>
              <w:rPr>
                <w:rFonts w:hint="eastAsia" w:ascii="Times New Roman" w:hAnsi="Times New Roman"/>
                <w:bCs/>
                <w:color w:val="auto"/>
                <w:szCs w:val="21"/>
                <w:highlight w:val="none"/>
              </w:rPr>
              <w:t>10</w:t>
            </w:r>
          </w:p>
        </w:tc>
        <w:tc>
          <w:tcPr>
            <w:tcW w:w="1025" w:type="pct"/>
            <w:tcBorders>
              <w:tl2br w:val="nil"/>
              <w:tr2bl w:val="nil"/>
            </w:tcBorders>
            <w:noWrap/>
            <w:vAlign w:val="center"/>
          </w:tcPr>
          <w:p>
            <w:pPr>
              <w:jc w:val="center"/>
              <w:rPr>
                <w:rFonts w:ascii="Times New Roman" w:hAnsi="Times New Roman" w:eastAsia="宋体"/>
                <w:color w:val="auto"/>
                <w:szCs w:val="21"/>
                <w:highlight w:val="none"/>
              </w:rPr>
            </w:pPr>
            <w:r>
              <w:rPr>
                <w:rFonts w:hint="eastAsia" w:ascii="Times New Roman" w:hAnsi="Times New Roman"/>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pct"/>
            <w:tcBorders>
              <w:tl2br w:val="nil"/>
              <w:tr2bl w:val="nil"/>
            </w:tcBorders>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w:t>
            </w:r>
          </w:p>
        </w:tc>
        <w:tc>
          <w:tcPr>
            <w:tcW w:w="1299" w:type="pct"/>
            <w:tcBorders>
              <w:tl2br w:val="nil"/>
              <w:tr2bl w:val="nil"/>
            </w:tcBorders>
            <w:noWrap/>
            <w:vAlign w:val="center"/>
          </w:tcPr>
          <w:p>
            <w:pPr>
              <w:pStyle w:val="43"/>
              <w:rPr>
                <w:rFonts w:hint="eastAsia" w:ascii="Times New Roman" w:hAnsi="Times New Roman" w:eastAsia="宋体"/>
                <w:color w:val="auto"/>
                <w:sz w:val="21"/>
                <w:szCs w:val="21"/>
                <w:highlight w:val="none"/>
                <w:lang w:eastAsia="zh-CN"/>
              </w:rPr>
            </w:pPr>
            <w:r>
              <w:rPr>
                <w:rFonts w:hint="eastAsia" w:ascii="Times New Roman" w:hAnsi="Times New Roman" w:eastAsia="宋体"/>
                <w:color w:val="auto"/>
                <w:sz w:val="21"/>
                <w:szCs w:val="21"/>
                <w:highlight w:val="none"/>
                <w:lang w:eastAsia="zh-CN"/>
              </w:rPr>
              <w:t>氨氮</w:t>
            </w:r>
          </w:p>
        </w:tc>
        <w:tc>
          <w:tcPr>
            <w:tcW w:w="634" w:type="pct"/>
            <w:tcBorders>
              <w:tl2br w:val="nil"/>
              <w:tr2bl w:val="nil"/>
            </w:tcBorders>
            <w:noWrap/>
            <w:vAlign w:val="center"/>
          </w:tcPr>
          <w:p>
            <w:pPr>
              <w:pStyle w:val="43"/>
              <w:rPr>
                <w:rFonts w:hint="eastAsia" w:ascii="Times New Roman" w:hAnsi="Times New Roman" w:eastAsia="宋体"/>
                <w:color w:val="auto"/>
                <w:sz w:val="21"/>
                <w:szCs w:val="21"/>
                <w:highlight w:val="none"/>
                <w:lang w:eastAsia="zh-CN"/>
              </w:rPr>
            </w:pPr>
            <w:r>
              <w:rPr>
                <w:rFonts w:hint="eastAsia" w:ascii="Times New Roman" w:hAnsi="Times New Roman" w:eastAsia="宋体"/>
                <w:color w:val="auto"/>
                <w:sz w:val="21"/>
                <w:szCs w:val="21"/>
                <w:highlight w:val="none"/>
                <w:lang w:eastAsia="zh-CN"/>
              </w:rPr>
              <w:t>mg/L</w:t>
            </w:r>
          </w:p>
        </w:tc>
        <w:tc>
          <w:tcPr>
            <w:tcW w:w="736" w:type="pct"/>
            <w:tcBorders>
              <w:tl2br w:val="nil"/>
              <w:tr2bl w:val="nil"/>
            </w:tcBorders>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w:t>
            </w:r>
            <w:r>
              <w:rPr>
                <w:rFonts w:hint="eastAsia" w:ascii="Times New Roman" w:hAnsi="Times New Roman"/>
                <w:color w:val="auto"/>
                <w:szCs w:val="21"/>
                <w:highlight w:val="none"/>
              </w:rPr>
              <w:t>3</w:t>
            </w:r>
            <w:r>
              <w:rPr>
                <w:rFonts w:ascii="Times New Roman" w:hAnsi="Times New Roman"/>
                <w:color w:val="auto"/>
                <w:szCs w:val="21"/>
                <w:highlight w:val="none"/>
              </w:rPr>
              <w:t>5*</w:t>
            </w:r>
          </w:p>
        </w:tc>
        <w:tc>
          <w:tcPr>
            <w:tcW w:w="869" w:type="pct"/>
            <w:tcBorders>
              <w:tl2br w:val="nil"/>
              <w:tr2bl w:val="nil"/>
            </w:tcBorders>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w:t>
            </w:r>
            <w:r>
              <w:rPr>
                <w:rFonts w:hint="eastAsia" w:ascii="Times New Roman" w:hAnsi="Times New Roman"/>
                <w:color w:val="auto"/>
                <w:szCs w:val="21"/>
                <w:highlight w:val="none"/>
              </w:rPr>
              <w:t>5</w:t>
            </w:r>
            <w:r>
              <w:rPr>
                <w:rFonts w:ascii="Times New Roman" w:hAnsi="Times New Roman"/>
                <w:color w:val="auto"/>
                <w:szCs w:val="21"/>
                <w:highlight w:val="none"/>
              </w:rPr>
              <w:t>（</w:t>
            </w:r>
            <w:r>
              <w:rPr>
                <w:rFonts w:hint="eastAsia" w:ascii="Times New Roman" w:hAnsi="Times New Roman"/>
                <w:color w:val="auto"/>
                <w:szCs w:val="21"/>
                <w:highlight w:val="none"/>
              </w:rPr>
              <w:t>8</w:t>
            </w:r>
            <w:r>
              <w:rPr>
                <w:rFonts w:ascii="Times New Roman" w:hAnsi="Times New Roman"/>
                <w:color w:val="auto"/>
                <w:szCs w:val="21"/>
                <w:highlight w:val="none"/>
              </w:rPr>
              <w:t>）</w:t>
            </w:r>
          </w:p>
        </w:tc>
        <w:tc>
          <w:tcPr>
            <w:tcW w:w="1025" w:type="pct"/>
            <w:tcBorders>
              <w:tl2br w:val="nil"/>
              <w:tr2bl w:val="nil"/>
            </w:tcBorders>
            <w:noWrap/>
            <w:vAlign w:val="center"/>
          </w:tcPr>
          <w:p>
            <w:pPr>
              <w:jc w:val="center"/>
              <w:rPr>
                <w:rFonts w:ascii="Times New Roman" w:hAnsi="Times New Roman" w:eastAsia="宋体"/>
                <w:color w:val="auto"/>
                <w:szCs w:val="21"/>
                <w:highlight w:val="none"/>
              </w:rPr>
            </w:pPr>
            <w:r>
              <w:rPr>
                <w:rFonts w:ascii="Times New Roman" w:hAnsi="Times New Roman"/>
                <w:color w:val="auto"/>
                <w:szCs w:val="21"/>
                <w:highlight w:val="none"/>
              </w:rPr>
              <w:t>≤</w:t>
            </w:r>
            <w:r>
              <w:rPr>
                <w:rFonts w:hint="eastAsia" w:ascii="Times New Roman" w:hAnsi="Times New Roman"/>
                <w:color w:val="auto"/>
                <w:szCs w:val="21"/>
                <w:highlight w:val="none"/>
              </w:rPr>
              <w:t>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pct"/>
            <w:tcBorders>
              <w:tl2br w:val="nil"/>
              <w:tr2bl w:val="nil"/>
            </w:tcBorders>
            <w:noWrap/>
            <w:vAlign w:val="center"/>
          </w:tcPr>
          <w:p>
            <w:pPr>
              <w:jc w:val="center"/>
              <w:rPr>
                <w:rFonts w:hint="eastAsia" w:ascii="Times New Roman" w:hAnsi="Times New Roman" w:eastAsiaTheme="minorEastAsia"/>
                <w:color w:val="auto"/>
                <w:szCs w:val="21"/>
                <w:highlight w:val="none"/>
                <w:lang w:val="en-US" w:eastAsia="zh-CN"/>
              </w:rPr>
            </w:pPr>
            <w:r>
              <w:rPr>
                <w:rFonts w:hint="eastAsia" w:ascii="Times New Roman" w:hAnsi="Times New Roman"/>
                <w:color w:val="auto"/>
                <w:szCs w:val="21"/>
                <w:highlight w:val="none"/>
                <w:lang w:val="en-US" w:eastAsia="zh-CN"/>
              </w:rPr>
              <w:t>6</w:t>
            </w:r>
          </w:p>
        </w:tc>
        <w:tc>
          <w:tcPr>
            <w:tcW w:w="1299" w:type="pct"/>
            <w:tcBorders>
              <w:tl2br w:val="nil"/>
              <w:tr2bl w:val="nil"/>
            </w:tcBorders>
            <w:noWrap/>
            <w:vAlign w:val="center"/>
          </w:tcPr>
          <w:p>
            <w:pPr>
              <w:pStyle w:val="43"/>
              <w:rPr>
                <w:rFonts w:hint="eastAsia" w:ascii="Times New Roman" w:hAnsi="Times New Roman" w:eastAsia="宋体"/>
                <w:color w:val="auto"/>
                <w:sz w:val="21"/>
                <w:szCs w:val="21"/>
                <w:highlight w:val="none"/>
                <w:lang w:eastAsia="zh-CN"/>
              </w:rPr>
            </w:pPr>
            <w:r>
              <w:rPr>
                <w:rFonts w:hint="eastAsia" w:ascii="Times New Roman" w:hAnsi="Times New Roman" w:eastAsia="宋体"/>
                <w:color w:val="auto"/>
                <w:sz w:val="21"/>
                <w:szCs w:val="21"/>
                <w:highlight w:val="none"/>
                <w:lang w:eastAsia="zh-CN"/>
              </w:rPr>
              <w:t>总磷</w:t>
            </w:r>
          </w:p>
        </w:tc>
        <w:tc>
          <w:tcPr>
            <w:tcW w:w="634" w:type="pct"/>
            <w:tcBorders>
              <w:tl2br w:val="nil"/>
              <w:tr2bl w:val="nil"/>
            </w:tcBorders>
            <w:noWrap/>
            <w:vAlign w:val="center"/>
          </w:tcPr>
          <w:p>
            <w:pPr>
              <w:pStyle w:val="43"/>
              <w:rPr>
                <w:rFonts w:hint="eastAsia" w:ascii="Times New Roman" w:hAnsi="Times New Roman" w:eastAsia="宋体"/>
                <w:color w:val="auto"/>
                <w:sz w:val="21"/>
                <w:szCs w:val="21"/>
                <w:highlight w:val="none"/>
                <w:lang w:eastAsia="zh-CN"/>
              </w:rPr>
            </w:pPr>
            <w:r>
              <w:rPr>
                <w:rFonts w:hint="eastAsia" w:ascii="Times New Roman" w:hAnsi="Times New Roman" w:eastAsia="宋体"/>
                <w:color w:val="auto"/>
                <w:sz w:val="21"/>
                <w:szCs w:val="21"/>
                <w:highlight w:val="none"/>
                <w:lang w:eastAsia="zh-CN"/>
              </w:rPr>
              <w:t>mg/L</w:t>
            </w:r>
          </w:p>
        </w:tc>
        <w:tc>
          <w:tcPr>
            <w:tcW w:w="736" w:type="pct"/>
            <w:tcBorders>
              <w:tl2br w:val="nil"/>
              <w:tr2bl w:val="nil"/>
            </w:tcBorders>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w:t>
            </w:r>
            <w:r>
              <w:rPr>
                <w:rFonts w:hint="eastAsia" w:ascii="Times New Roman" w:hAnsi="Times New Roman"/>
                <w:color w:val="auto"/>
                <w:szCs w:val="21"/>
                <w:highlight w:val="none"/>
                <w:lang w:val="en-US" w:eastAsia="zh-CN"/>
              </w:rPr>
              <w:t>8</w:t>
            </w:r>
            <w:r>
              <w:rPr>
                <w:rFonts w:ascii="Times New Roman" w:hAnsi="Times New Roman"/>
                <w:color w:val="auto"/>
                <w:szCs w:val="21"/>
                <w:highlight w:val="none"/>
              </w:rPr>
              <w:t>*</w:t>
            </w:r>
          </w:p>
        </w:tc>
        <w:tc>
          <w:tcPr>
            <w:tcW w:w="869" w:type="pct"/>
            <w:tcBorders>
              <w:tl2br w:val="nil"/>
              <w:tr2bl w:val="nil"/>
            </w:tcBorders>
            <w:noWrap/>
            <w:vAlign w:val="center"/>
          </w:tcPr>
          <w:p>
            <w:pPr>
              <w:jc w:val="center"/>
              <w:rPr>
                <w:rFonts w:hint="default" w:ascii="Times New Roman" w:hAnsi="Times New Roman" w:eastAsiaTheme="minorEastAsia"/>
                <w:color w:val="auto"/>
                <w:szCs w:val="21"/>
                <w:highlight w:val="none"/>
                <w:lang w:val="en-US" w:eastAsia="zh-CN"/>
              </w:rPr>
            </w:pPr>
            <w:r>
              <w:rPr>
                <w:rFonts w:ascii="Times New Roman" w:hAnsi="Times New Roman"/>
                <w:color w:val="auto"/>
                <w:szCs w:val="21"/>
                <w:highlight w:val="none"/>
              </w:rPr>
              <w:t>≤</w:t>
            </w:r>
            <w:r>
              <w:rPr>
                <w:rFonts w:hint="eastAsia" w:ascii="Times New Roman" w:hAnsi="Times New Roman"/>
                <w:color w:val="auto"/>
                <w:szCs w:val="21"/>
                <w:highlight w:val="none"/>
                <w:lang w:val="en-US" w:eastAsia="zh-CN"/>
              </w:rPr>
              <w:t>0.3</w:t>
            </w:r>
          </w:p>
        </w:tc>
        <w:tc>
          <w:tcPr>
            <w:tcW w:w="1025" w:type="pct"/>
            <w:tcBorders>
              <w:tl2br w:val="nil"/>
              <w:tr2bl w:val="nil"/>
            </w:tcBorders>
            <w:noWrap/>
            <w:vAlign w:val="center"/>
          </w:tcPr>
          <w:p>
            <w:pPr>
              <w:jc w:val="center"/>
              <w:rPr>
                <w:rFonts w:hint="eastAsia" w:ascii="Times New Roman" w:hAnsi="Times New Roman"/>
                <w:color w:val="auto"/>
                <w:szCs w:val="21"/>
                <w:highlight w:val="none"/>
              </w:rPr>
            </w:pPr>
            <w:r>
              <w:rPr>
                <w:rFonts w:hint="eastAsia" w:ascii="Times New Roman" w:hAnsi="Times New Roman"/>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pct"/>
            <w:tcBorders>
              <w:tl2br w:val="nil"/>
              <w:tr2bl w:val="nil"/>
            </w:tcBorders>
            <w:noWrap/>
            <w:vAlign w:val="center"/>
          </w:tcPr>
          <w:p>
            <w:pPr>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7</w:t>
            </w:r>
          </w:p>
        </w:tc>
        <w:tc>
          <w:tcPr>
            <w:tcW w:w="1299" w:type="pct"/>
            <w:tcBorders>
              <w:tl2br w:val="nil"/>
              <w:tr2bl w:val="nil"/>
            </w:tcBorders>
            <w:noWrap/>
            <w:vAlign w:val="center"/>
          </w:tcPr>
          <w:p>
            <w:pPr>
              <w:pStyle w:val="43"/>
              <w:rPr>
                <w:rFonts w:hint="eastAsia" w:ascii="Times New Roman" w:hAnsi="Times New Roman" w:eastAsia="宋体"/>
                <w:color w:val="auto"/>
                <w:sz w:val="21"/>
                <w:szCs w:val="21"/>
                <w:highlight w:val="none"/>
                <w:lang w:eastAsia="zh-CN"/>
              </w:rPr>
            </w:pPr>
            <w:r>
              <w:rPr>
                <w:rFonts w:hint="eastAsia" w:ascii="Times New Roman" w:hAnsi="Times New Roman" w:eastAsia="宋体"/>
                <w:color w:val="auto"/>
                <w:sz w:val="21"/>
                <w:szCs w:val="21"/>
                <w:highlight w:val="none"/>
                <w:lang w:eastAsia="zh-CN"/>
              </w:rPr>
              <w:t>动植物油类</w:t>
            </w:r>
          </w:p>
        </w:tc>
        <w:tc>
          <w:tcPr>
            <w:tcW w:w="634" w:type="pct"/>
            <w:tcBorders>
              <w:tl2br w:val="nil"/>
              <w:tr2bl w:val="nil"/>
            </w:tcBorders>
            <w:noWrap/>
            <w:vAlign w:val="center"/>
          </w:tcPr>
          <w:p>
            <w:pPr>
              <w:pStyle w:val="43"/>
              <w:rPr>
                <w:rFonts w:hint="eastAsia" w:ascii="Times New Roman" w:hAnsi="Times New Roman" w:eastAsia="宋体"/>
                <w:color w:val="auto"/>
                <w:sz w:val="21"/>
                <w:szCs w:val="21"/>
                <w:highlight w:val="none"/>
                <w:lang w:eastAsia="zh-CN"/>
              </w:rPr>
            </w:pPr>
            <w:r>
              <w:rPr>
                <w:rFonts w:hint="eastAsia" w:ascii="Times New Roman" w:hAnsi="Times New Roman" w:eastAsia="宋体"/>
                <w:color w:val="auto"/>
                <w:sz w:val="21"/>
                <w:szCs w:val="21"/>
                <w:highlight w:val="none"/>
                <w:lang w:eastAsia="zh-CN"/>
              </w:rPr>
              <w:t>mg/L</w:t>
            </w:r>
          </w:p>
        </w:tc>
        <w:tc>
          <w:tcPr>
            <w:tcW w:w="736" w:type="pct"/>
            <w:tcBorders>
              <w:tl2br w:val="nil"/>
              <w:tr2bl w:val="nil"/>
            </w:tcBorders>
            <w:noWrap/>
            <w:vAlign w:val="center"/>
          </w:tcPr>
          <w:p>
            <w:pPr>
              <w:jc w:val="center"/>
              <w:rPr>
                <w:rFonts w:ascii="Times New Roman" w:hAnsi="Times New Roman" w:eastAsia="宋体"/>
                <w:color w:val="auto"/>
                <w:szCs w:val="21"/>
                <w:highlight w:val="none"/>
              </w:rPr>
            </w:pPr>
            <w:r>
              <w:rPr>
                <w:rFonts w:ascii="Times New Roman" w:hAnsi="Times New Roman"/>
                <w:color w:val="auto"/>
                <w:szCs w:val="21"/>
                <w:highlight w:val="none"/>
              </w:rPr>
              <w:t>≤</w:t>
            </w:r>
            <w:r>
              <w:rPr>
                <w:rFonts w:hint="eastAsia" w:ascii="Times New Roman" w:hAnsi="Times New Roman"/>
                <w:color w:val="auto"/>
                <w:szCs w:val="21"/>
                <w:highlight w:val="none"/>
              </w:rPr>
              <w:t>100</w:t>
            </w:r>
          </w:p>
        </w:tc>
        <w:tc>
          <w:tcPr>
            <w:tcW w:w="869" w:type="pct"/>
            <w:tcBorders>
              <w:tl2br w:val="nil"/>
              <w:tr2bl w:val="nil"/>
            </w:tcBorders>
            <w:noWrap/>
            <w:vAlign w:val="center"/>
          </w:tcPr>
          <w:p>
            <w:pPr>
              <w:jc w:val="center"/>
              <w:rPr>
                <w:rFonts w:ascii="Times New Roman" w:hAnsi="Times New Roman" w:eastAsia="宋体"/>
                <w:color w:val="auto"/>
                <w:szCs w:val="21"/>
                <w:highlight w:val="none"/>
              </w:rPr>
            </w:pPr>
            <w:r>
              <w:rPr>
                <w:rFonts w:ascii="Times New Roman" w:hAnsi="Times New Roman"/>
                <w:color w:val="auto"/>
                <w:szCs w:val="21"/>
                <w:highlight w:val="none"/>
              </w:rPr>
              <w:t>≤</w:t>
            </w:r>
            <w:r>
              <w:rPr>
                <w:rFonts w:hint="eastAsia" w:ascii="Times New Roman" w:hAnsi="Times New Roman"/>
                <w:color w:val="auto"/>
                <w:szCs w:val="21"/>
                <w:highlight w:val="none"/>
              </w:rPr>
              <w:t>1</w:t>
            </w:r>
          </w:p>
        </w:tc>
        <w:tc>
          <w:tcPr>
            <w:tcW w:w="1025" w:type="pct"/>
            <w:tcBorders>
              <w:tl2br w:val="nil"/>
              <w:tr2bl w:val="nil"/>
            </w:tcBorders>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pct"/>
            <w:tcBorders>
              <w:tl2br w:val="nil"/>
              <w:tr2bl w:val="nil"/>
            </w:tcBorders>
            <w:noWrap/>
            <w:vAlign w:val="center"/>
          </w:tcPr>
          <w:p>
            <w:pPr>
              <w:jc w:val="center"/>
              <w:rPr>
                <w:rFonts w:hint="eastAsia" w:ascii="Times New Roman" w:hAnsi="Times New Roman" w:eastAsiaTheme="minorEastAsia"/>
                <w:color w:val="auto"/>
                <w:szCs w:val="21"/>
                <w:highlight w:val="none"/>
                <w:lang w:val="en-US" w:eastAsia="zh-CN"/>
              </w:rPr>
            </w:pPr>
            <w:r>
              <w:rPr>
                <w:rFonts w:hint="eastAsia" w:ascii="Times New Roman" w:hAnsi="Times New Roman"/>
                <w:color w:val="auto"/>
                <w:szCs w:val="21"/>
                <w:highlight w:val="none"/>
                <w:lang w:val="en-US" w:eastAsia="zh-CN"/>
              </w:rPr>
              <w:t>8</w:t>
            </w:r>
          </w:p>
        </w:tc>
        <w:tc>
          <w:tcPr>
            <w:tcW w:w="1299" w:type="pct"/>
            <w:tcBorders>
              <w:tl2br w:val="nil"/>
              <w:tr2bl w:val="nil"/>
            </w:tcBorders>
            <w:noWrap/>
            <w:vAlign w:val="center"/>
          </w:tcPr>
          <w:p>
            <w:pPr>
              <w:pStyle w:val="43"/>
              <w:rPr>
                <w:rFonts w:hint="eastAsia" w:ascii="Times New Roman" w:hAnsi="Times New Roman" w:eastAsia="宋体"/>
                <w:color w:val="auto"/>
                <w:sz w:val="21"/>
                <w:szCs w:val="21"/>
                <w:highlight w:val="none"/>
                <w:lang w:eastAsia="zh-CN"/>
              </w:rPr>
            </w:pPr>
            <w:r>
              <w:rPr>
                <w:rFonts w:hint="eastAsia" w:ascii="Times New Roman" w:hAnsi="Times New Roman" w:eastAsia="宋体"/>
                <w:color w:val="auto"/>
                <w:sz w:val="21"/>
                <w:szCs w:val="21"/>
                <w:highlight w:val="none"/>
                <w:lang w:eastAsia="zh-CN"/>
              </w:rPr>
              <w:t>石油类</w:t>
            </w:r>
          </w:p>
        </w:tc>
        <w:tc>
          <w:tcPr>
            <w:tcW w:w="634" w:type="pct"/>
            <w:tcBorders>
              <w:tl2br w:val="nil"/>
              <w:tr2bl w:val="nil"/>
            </w:tcBorders>
            <w:noWrap/>
            <w:vAlign w:val="center"/>
          </w:tcPr>
          <w:p>
            <w:pPr>
              <w:pStyle w:val="43"/>
              <w:rPr>
                <w:rFonts w:hint="eastAsia" w:ascii="Times New Roman" w:hAnsi="Times New Roman" w:eastAsia="宋体"/>
                <w:color w:val="auto"/>
                <w:sz w:val="21"/>
                <w:szCs w:val="21"/>
                <w:highlight w:val="none"/>
                <w:lang w:eastAsia="zh-CN"/>
              </w:rPr>
            </w:pPr>
            <w:r>
              <w:rPr>
                <w:rFonts w:hint="eastAsia" w:ascii="Times New Roman" w:hAnsi="Times New Roman" w:eastAsia="宋体"/>
                <w:color w:val="auto"/>
                <w:sz w:val="21"/>
                <w:szCs w:val="21"/>
                <w:highlight w:val="none"/>
                <w:lang w:eastAsia="zh-CN"/>
              </w:rPr>
              <w:t>mg/L</w:t>
            </w:r>
          </w:p>
        </w:tc>
        <w:tc>
          <w:tcPr>
            <w:tcW w:w="736" w:type="pct"/>
            <w:tcBorders>
              <w:tl2br w:val="nil"/>
              <w:tr2bl w:val="nil"/>
            </w:tcBorders>
            <w:noWrap/>
            <w:vAlign w:val="center"/>
          </w:tcPr>
          <w:p>
            <w:pPr>
              <w:jc w:val="center"/>
              <w:rPr>
                <w:rFonts w:hint="default" w:ascii="Times New Roman" w:hAnsi="Times New Roman" w:eastAsiaTheme="minorEastAsia"/>
                <w:color w:val="auto"/>
                <w:szCs w:val="21"/>
                <w:highlight w:val="none"/>
                <w:lang w:val="en-US" w:eastAsia="zh-CN"/>
              </w:rPr>
            </w:pPr>
            <w:r>
              <w:rPr>
                <w:rFonts w:hint="eastAsia" w:ascii="Times New Roman" w:hAnsi="Times New Roman"/>
                <w:color w:val="auto"/>
                <w:szCs w:val="21"/>
                <w:highlight w:val="none"/>
                <w:lang w:val="en-US" w:eastAsia="zh-CN"/>
              </w:rPr>
              <w:t>20</w:t>
            </w:r>
          </w:p>
        </w:tc>
        <w:tc>
          <w:tcPr>
            <w:tcW w:w="869" w:type="pct"/>
            <w:tcBorders>
              <w:tl2br w:val="nil"/>
              <w:tr2bl w:val="nil"/>
            </w:tcBorders>
            <w:noWrap/>
            <w:vAlign w:val="center"/>
          </w:tcPr>
          <w:p>
            <w:pPr>
              <w:jc w:val="center"/>
              <w:rPr>
                <w:rFonts w:hint="eastAsia" w:ascii="Times New Roman" w:hAnsi="Times New Roman" w:eastAsiaTheme="minorEastAsia"/>
                <w:color w:val="auto"/>
                <w:szCs w:val="21"/>
                <w:highlight w:val="none"/>
                <w:lang w:val="en-US" w:eastAsia="zh-CN"/>
              </w:rPr>
            </w:pPr>
            <w:r>
              <w:rPr>
                <w:rFonts w:ascii="Times New Roman" w:hAnsi="Times New Roman"/>
                <w:color w:val="auto"/>
                <w:szCs w:val="21"/>
                <w:highlight w:val="none"/>
              </w:rPr>
              <w:t>≤</w:t>
            </w:r>
            <w:r>
              <w:rPr>
                <w:rFonts w:hint="eastAsia" w:ascii="Times New Roman" w:hAnsi="Times New Roman"/>
                <w:color w:val="auto"/>
                <w:szCs w:val="21"/>
                <w:highlight w:val="none"/>
                <w:lang w:val="en-US" w:eastAsia="zh-CN"/>
              </w:rPr>
              <w:t>1</w:t>
            </w:r>
          </w:p>
        </w:tc>
        <w:tc>
          <w:tcPr>
            <w:tcW w:w="1025" w:type="pct"/>
            <w:tcBorders>
              <w:tl2br w:val="nil"/>
              <w:tr2bl w:val="nil"/>
            </w:tcBorders>
            <w:noWrap/>
            <w:vAlign w:val="center"/>
          </w:tcPr>
          <w:p>
            <w:pPr>
              <w:jc w:val="center"/>
              <w:rPr>
                <w:rFonts w:hint="eastAsia" w:ascii="Times New Roman" w:hAnsi="Times New Roman"/>
                <w:color w:val="auto"/>
                <w:szCs w:val="21"/>
                <w:highlight w:val="none"/>
              </w:rPr>
            </w:pPr>
            <w:r>
              <w:rPr>
                <w:rFonts w:hint="eastAsia" w:ascii="Times New Roman" w:hAnsi="Times New Roman"/>
                <w:color w:val="auto"/>
                <w:szCs w:val="21"/>
                <w:highlight w:val="none"/>
              </w:rPr>
              <w:t>/</w:t>
            </w:r>
          </w:p>
        </w:tc>
      </w:tr>
    </w:tbl>
    <w:p>
      <w:pPr>
        <w:pStyle w:val="4"/>
        <w:spacing w:before="0" w:after="0" w:line="360" w:lineRule="auto"/>
        <w:rPr>
          <w:rFonts w:ascii="Times New Roman" w:hAnsi="Times New Roman" w:cs="Times New Roman" w:eastAsiaTheme="minorEastAsia"/>
          <w:color w:val="auto"/>
          <w:sz w:val="24"/>
          <w:szCs w:val="24"/>
          <w:highlight w:val="none"/>
        </w:rPr>
      </w:pPr>
      <w:bookmarkStart w:id="49" w:name="_Toc2190"/>
      <w:r>
        <w:rPr>
          <w:rFonts w:ascii="Times New Roman" w:hAnsi="Times New Roman" w:cs="Times New Roman" w:eastAsiaTheme="minorEastAsia"/>
          <w:color w:val="auto"/>
          <w:sz w:val="24"/>
          <w:szCs w:val="24"/>
          <w:highlight w:val="none"/>
        </w:rPr>
        <w:t>6.</w:t>
      </w:r>
      <w:r>
        <w:rPr>
          <w:rFonts w:hint="eastAsia" w:ascii="Times New Roman" w:hAnsi="Times New Roman" w:cs="Times New Roman" w:eastAsiaTheme="minorEastAsia"/>
          <w:color w:val="auto"/>
          <w:sz w:val="24"/>
          <w:szCs w:val="24"/>
          <w:highlight w:val="none"/>
        </w:rPr>
        <w:t>3</w:t>
      </w:r>
      <w:r>
        <w:rPr>
          <w:rFonts w:ascii="Times New Roman" w:hAnsi="Times New Roman" w:cs="Times New Roman" w:eastAsiaTheme="minorEastAsia"/>
          <w:color w:val="auto"/>
          <w:sz w:val="24"/>
          <w:szCs w:val="24"/>
          <w:highlight w:val="none"/>
        </w:rPr>
        <w:t>噪声执行标准</w:t>
      </w:r>
      <w:bookmarkEnd w:id="48"/>
      <w:bookmarkEnd w:id="49"/>
    </w:p>
    <w:p>
      <w:pPr>
        <w:pStyle w:val="36"/>
        <w:spacing w:before="0" w:line="360" w:lineRule="auto"/>
        <w:rPr>
          <w:rFonts w:ascii="Times New Roman" w:hAnsi="Times New Roman" w:cs="Times New Roman"/>
          <w:color w:val="auto"/>
          <w:sz w:val="21"/>
          <w:szCs w:val="21"/>
          <w:highlight w:val="none"/>
        </w:rPr>
      </w:pPr>
      <w:r>
        <w:rPr>
          <w:rFonts w:ascii="Times New Roman" w:hAnsi="Times New Roman" w:cs="Times New Roman"/>
          <w:color w:val="auto"/>
          <w:szCs w:val="22"/>
          <w:highlight w:val="none"/>
        </w:rPr>
        <w:t>项目厂界噪声排放限值执行《工业企业厂界环境噪声排放标准》（GB12348-2008）2类标准，具体见表6-</w:t>
      </w:r>
      <w:r>
        <w:rPr>
          <w:rFonts w:hint="eastAsia" w:ascii="Times New Roman" w:hAnsi="Times New Roman" w:cs="Times New Roman"/>
          <w:color w:val="auto"/>
          <w:szCs w:val="22"/>
          <w:highlight w:val="none"/>
        </w:rPr>
        <w:t>4</w:t>
      </w:r>
      <w:r>
        <w:rPr>
          <w:rFonts w:ascii="Times New Roman" w:hAnsi="Times New Roman" w:cs="Times New Roman"/>
          <w:color w:val="auto"/>
          <w:szCs w:val="22"/>
          <w:highlight w:val="none"/>
        </w:rPr>
        <w:t>。</w:t>
      </w:r>
    </w:p>
    <w:p>
      <w:pPr>
        <w:pStyle w:val="41"/>
        <w:spacing w:before="0" w:line="360" w:lineRule="auto"/>
        <w:rPr>
          <w:rFonts w:ascii="Times New Roman" w:hAnsi="Times New Roman" w:cs="Times New Roman"/>
          <w:b/>
          <w:color w:val="auto"/>
          <w:kern w:val="0"/>
          <w:highlight w:val="none"/>
        </w:rPr>
      </w:pPr>
      <w:r>
        <w:rPr>
          <w:rFonts w:ascii="Times New Roman" w:hAnsi="Times New Roman" w:cs="Times New Roman"/>
          <w:b/>
          <w:color w:val="auto"/>
          <w:kern w:val="0"/>
          <w:highlight w:val="none"/>
        </w:rPr>
        <w:t>表6-</w:t>
      </w:r>
      <w:r>
        <w:rPr>
          <w:rFonts w:hint="eastAsia" w:ascii="Times New Roman" w:hAnsi="Times New Roman" w:cs="Times New Roman"/>
          <w:b/>
          <w:color w:val="auto"/>
          <w:kern w:val="0"/>
          <w:highlight w:val="none"/>
        </w:rPr>
        <w:t>4</w:t>
      </w:r>
      <w:r>
        <w:rPr>
          <w:rFonts w:ascii="Times New Roman" w:hAnsi="Times New Roman" w:cs="Times New Roman"/>
          <w:b/>
          <w:color w:val="auto"/>
          <w:kern w:val="0"/>
          <w:highlight w:val="none"/>
        </w:rPr>
        <w:t xml:space="preserve"> 工业企业厂界环境噪声排放标准</w:t>
      </w:r>
    </w:p>
    <w:tbl>
      <w:tblPr>
        <w:tblStyle w:val="23"/>
        <w:tblW w:w="851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26"/>
        <w:gridCol w:w="3337"/>
        <w:gridCol w:w="35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626" w:type="dxa"/>
            <w:tcBorders>
              <w:tl2br w:val="nil"/>
              <w:tr2bl w:val="nil"/>
            </w:tcBorders>
            <w:vAlign w:val="center"/>
          </w:tcPr>
          <w:p>
            <w:pPr>
              <w:spacing w:line="360" w:lineRule="auto"/>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类别</w:t>
            </w:r>
          </w:p>
        </w:tc>
        <w:tc>
          <w:tcPr>
            <w:tcW w:w="3337" w:type="dxa"/>
            <w:tcBorders>
              <w:tl2br w:val="nil"/>
              <w:tr2bl w:val="nil"/>
            </w:tcBorders>
            <w:vAlign w:val="center"/>
          </w:tcPr>
          <w:p>
            <w:pPr>
              <w:spacing w:line="360" w:lineRule="auto"/>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昼间（dBA）</w:t>
            </w:r>
          </w:p>
        </w:tc>
        <w:tc>
          <w:tcPr>
            <w:tcW w:w="3553" w:type="dxa"/>
            <w:tcBorders>
              <w:tl2br w:val="nil"/>
              <w:tr2bl w:val="nil"/>
            </w:tcBorders>
            <w:vAlign w:val="center"/>
          </w:tcPr>
          <w:p>
            <w:pPr>
              <w:spacing w:line="360" w:lineRule="auto"/>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夜间（dBA）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626" w:type="dxa"/>
            <w:tcBorders>
              <w:tl2br w:val="nil"/>
              <w:tr2bl w:val="nil"/>
            </w:tcBorders>
            <w:vAlign w:val="center"/>
          </w:tcPr>
          <w:p>
            <w:pPr>
              <w:spacing w:line="360" w:lineRule="auto"/>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2类</w:t>
            </w:r>
          </w:p>
        </w:tc>
        <w:tc>
          <w:tcPr>
            <w:tcW w:w="3337" w:type="dxa"/>
            <w:tcBorders>
              <w:tl2br w:val="nil"/>
              <w:tr2bl w:val="nil"/>
            </w:tcBorders>
            <w:vAlign w:val="center"/>
          </w:tcPr>
          <w:p>
            <w:pPr>
              <w:spacing w:line="360" w:lineRule="auto"/>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≤60</w:t>
            </w:r>
          </w:p>
        </w:tc>
        <w:tc>
          <w:tcPr>
            <w:tcW w:w="3553" w:type="dxa"/>
            <w:tcBorders>
              <w:tl2br w:val="nil"/>
              <w:tr2bl w:val="nil"/>
            </w:tcBorders>
            <w:vAlign w:val="center"/>
          </w:tcPr>
          <w:p>
            <w:pPr>
              <w:spacing w:line="360" w:lineRule="auto"/>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≤50</w:t>
            </w:r>
          </w:p>
        </w:tc>
      </w:tr>
      <w:bookmarkEnd w:id="42"/>
    </w:tbl>
    <w:p>
      <w:pPr>
        <w:widowControl/>
        <w:spacing w:line="360" w:lineRule="auto"/>
        <w:ind w:firstLine="560" w:firstLineChars="200"/>
        <w:jc w:val="left"/>
        <w:rPr>
          <w:rFonts w:ascii="Times New Roman" w:hAnsi="Times New Roman" w:cs="Times New Roman"/>
          <w:b/>
          <w:bCs/>
          <w:color w:val="auto"/>
          <w:kern w:val="44"/>
          <w:sz w:val="28"/>
          <w:szCs w:val="28"/>
          <w:highlight w:val="none"/>
        </w:rPr>
      </w:pPr>
      <w:r>
        <w:rPr>
          <w:rFonts w:ascii="Times New Roman" w:hAnsi="Times New Roman" w:cs="Times New Roman"/>
          <w:color w:val="auto"/>
          <w:sz w:val="28"/>
          <w:szCs w:val="28"/>
          <w:highlight w:val="none"/>
        </w:rPr>
        <w:br w:type="page"/>
      </w:r>
    </w:p>
    <w:p>
      <w:pPr>
        <w:pStyle w:val="3"/>
        <w:numPr>
          <w:ilvl w:val="0"/>
          <w:numId w:val="10"/>
        </w:numPr>
        <w:spacing w:before="0" w:after="0" w:line="360" w:lineRule="auto"/>
        <w:jc w:val="left"/>
        <w:rPr>
          <w:rFonts w:ascii="Times New Roman" w:hAnsi="Times New Roman" w:cs="Times New Roman"/>
          <w:color w:val="auto"/>
          <w:sz w:val="28"/>
          <w:szCs w:val="28"/>
          <w:highlight w:val="none"/>
        </w:rPr>
      </w:pPr>
      <w:bookmarkStart w:id="50" w:name="_Toc28103"/>
      <w:r>
        <w:rPr>
          <w:rFonts w:ascii="Times New Roman" w:hAnsi="Times New Roman" w:cs="Times New Roman"/>
          <w:color w:val="auto"/>
          <w:sz w:val="28"/>
          <w:szCs w:val="28"/>
          <w:highlight w:val="none"/>
        </w:rPr>
        <w:t>验收监测内容</w:t>
      </w:r>
      <w:bookmarkEnd w:id="50"/>
    </w:p>
    <w:p>
      <w:pPr>
        <w:pStyle w:val="4"/>
        <w:spacing w:before="0" w:after="0" w:line="360" w:lineRule="auto"/>
        <w:rPr>
          <w:rFonts w:ascii="Times New Roman" w:hAnsi="Times New Roman" w:cs="Times New Roman" w:eastAsiaTheme="minorEastAsia"/>
          <w:color w:val="auto"/>
          <w:sz w:val="24"/>
          <w:szCs w:val="24"/>
          <w:highlight w:val="none"/>
        </w:rPr>
      </w:pPr>
      <w:bookmarkStart w:id="51" w:name="_Toc5091"/>
      <w:r>
        <w:rPr>
          <w:rFonts w:ascii="Times New Roman" w:hAnsi="Times New Roman" w:cs="Times New Roman" w:eastAsiaTheme="minorEastAsia"/>
          <w:color w:val="auto"/>
          <w:sz w:val="24"/>
          <w:szCs w:val="24"/>
          <w:highlight w:val="none"/>
        </w:rPr>
        <w:t>7.</w:t>
      </w:r>
      <w:r>
        <w:rPr>
          <w:rFonts w:hint="eastAsia" w:ascii="Times New Roman" w:hAnsi="Times New Roman" w:cs="Times New Roman" w:eastAsiaTheme="minorEastAsia"/>
          <w:color w:val="auto"/>
          <w:sz w:val="24"/>
          <w:szCs w:val="24"/>
          <w:highlight w:val="none"/>
        </w:rPr>
        <w:t>1</w:t>
      </w:r>
      <w:r>
        <w:rPr>
          <w:rFonts w:ascii="Times New Roman" w:hAnsi="Times New Roman" w:cs="Times New Roman" w:eastAsiaTheme="minorEastAsia"/>
          <w:color w:val="auto"/>
          <w:sz w:val="24"/>
          <w:szCs w:val="24"/>
          <w:highlight w:val="none"/>
        </w:rPr>
        <w:t>废气</w:t>
      </w:r>
      <w:bookmarkEnd w:id="51"/>
    </w:p>
    <w:p>
      <w:pPr>
        <w:spacing w:line="360" w:lineRule="auto"/>
        <w:ind w:firstLine="480" w:firstLineChars="200"/>
        <w:rPr>
          <w:rFonts w:ascii="Times New Roman" w:hAnsi="Times New Roman" w:cs="Times New Roman"/>
          <w:bCs/>
          <w:color w:val="auto"/>
          <w:sz w:val="24"/>
          <w:szCs w:val="24"/>
          <w:highlight w:val="none"/>
        </w:rPr>
      </w:pPr>
      <w:r>
        <w:rPr>
          <w:rFonts w:ascii="Times New Roman" w:hAnsi="Times New Roman" w:cs="Times New Roman"/>
          <w:bCs/>
          <w:color w:val="auto"/>
          <w:sz w:val="24"/>
          <w:szCs w:val="24"/>
          <w:highlight w:val="none"/>
        </w:rPr>
        <w:t>项目废气监测因子及采样频次详细见表7-</w:t>
      </w:r>
      <w:r>
        <w:rPr>
          <w:rFonts w:hint="eastAsia" w:ascii="Times New Roman" w:hAnsi="Times New Roman" w:cs="Times New Roman"/>
          <w:bCs/>
          <w:color w:val="auto"/>
          <w:sz w:val="24"/>
          <w:szCs w:val="24"/>
          <w:highlight w:val="none"/>
        </w:rPr>
        <w:t>1</w:t>
      </w:r>
      <w:r>
        <w:rPr>
          <w:rFonts w:ascii="Times New Roman" w:hAnsi="Times New Roman" w:cs="Times New Roman"/>
          <w:bCs/>
          <w:color w:val="auto"/>
          <w:sz w:val="24"/>
          <w:szCs w:val="24"/>
          <w:highlight w:val="none"/>
        </w:rPr>
        <w:t>。</w:t>
      </w:r>
    </w:p>
    <w:p>
      <w:pPr>
        <w:spacing w:line="400" w:lineRule="exact"/>
        <w:jc w:val="center"/>
        <w:rPr>
          <w:rFonts w:ascii="Times New Roman" w:hAnsi="Times New Roman" w:cs="Times New Roman"/>
          <w:b/>
          <w:bCs/>
          <w:color w:val="auto"/>
          <w:sz w:val="24"/>
          <w:szCs w:val="24"/>
          <w:highlight w:val="none"/>
        </w:rPr>
      </w:pPr>
      <w:r>
        <w:rPr>
          <w:rFonts w:ascii="Times New Roman" w:hAnsi="Times New Roman" w:cs="Times New Roman"/>
          <w:b/>
          <w:bCs/>
          <w:color w:val="auto"/>
          <w:sz w:val="24"/>
          <w:szCs w:val="24"/>
          <w:highlight w:val="none"/>
        </w:rPr>
        <w:t>表7-</w:t>
      </w:r>
      <w:r>
        <w:rPr>
          <w:rFonts w:hint="eastAsia" w:ascii="Times New Roman" w:hAnsi="Times New Roman" w:cs="Times New Roman"/>
          <w:b/>
          <w:bCs/>
          <w:color w:val="auto"/>
          <w:sz w:val="24"/>
          <w:szCs w:val="24"/>
          <w:highlight w:val="none"/>
        </w:rPr>
        <w:t>1</w:t>
      </w:r>
      <w:r>
        <w:rPr>
          <w:rFonts w:ascii="Times New Roman" w:hAnsi="Times New Roman" w:cs="Times New Roman"/>
          <w:b/>
          <w:bCs/>
          <w:color w:val="auto"/>
          <w:sz w:val="24"/>
          <w:szCs w:val="24"/>
          <w:highlight w:val="none"/>
        </w:rPr>
        <w:t>废气监测内容</w:t>
      </w:r>
    </w:p>
    <w:tbl>
      <w:tblPr>
        <w:tblStyle w:val="23"/>
        <w:tblW w:w="846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CED7E7"/>
        <w:tblLayout w:type="fixed"/>
        <w:tblCellMar>
          <w:top w:w="0" w:type="dxa"/>
          <w:left w:w="108" w:type="dxa"/>
          <w:bottom w:w="0" w:type="dxa"/>
          <w:right w:w="108" w:type="dxa"/>
        </w:tblCellMar>
      </w:tblPr>
      <w:tblGrid>
        <w:gridCol w:w="654"/>
        <w:gridCol w:w="3384"/>
        <w:gridCol w:w="2136"/>
        <w:gridCol w:w="22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CED7E7"/>
          <w:tblCellMar>
            <w:top w:w="0" w:type="dxa"/>
            <w:left w:w="108" w:type="dxa"/>
            <w:bottom w:w="0" w:type="dxa"/>
            <w:right w:w="108" w:type="dxa"/>
          </w:tblCellMar>
        </w:tblPrEx>
        <w:trPr>
          <w:trHeight w:val="454" w:hRule="atLeast"/>
          <w:jc w:val="center"/>
        </w:trPr>
        <w:tc>
          <w:tcPr>
            <w:tcW w:w="654" w:type="dxa"/>
            <w:tcBorders>
              <w:tl2br w:val="nil"/>
              <w:tr2bl w:val="nil"/>
            </w:tcBorders>
            <w:shd w:val="clear" w:color="auto" w:fill="auto"/>
            <w:tcMar>
              <w:top w:w="80" w:type="dxa"/>
              <w:left w:w="80" w:type="dxa"/>
              <w:bottom w:w="80" w:type="dxa"/>
              <w:right w:w="80" w:type="dxa"/>
            </w:tcMar>
            <w:vAlign w:val="center"/>
          </w:tcPr>
          <w:p>
            <w:pPr>
              <w:spacing w:line="276" w:lineRule="auto"/>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lang w:val="zh-TW" w:eastAsia="zh-TW"/>
              </w:rPr>
              <w:t>序号</w:t>
            </w:r>
          </w:p>
        </w:tc>
        <w:tc>
          <w:tcPr>
            <w:tcW w:w="3384" w:type="dxa"/>
            <w:tcBorders>
              <w:tl2br w:val="nil"/>
              <w:tr2bl w:val="nil"/>
            </w:tcBorders>
            <w:shd w:val="clear" w:color="auto" w:fill="auto"/>
            <w:tcMar>
              <w:top w:w="80" w:type="dxa"/>
              <w:left w:w="80" w:type="dxa"/>
              <w:bottom w:w="80" w:type="dxa"/>
              <w:right w:w="80" w:type="dxa"/>
            </w:tcMar>
            <w:vAlign w:val="center"/>
          </w:tcPr>
          <w:p>
            <w:pPr>
              <w:ind w:left="237"/>
              <w:jc w:val="center"/>
              <w:rPr>
                <w:rFonts w:ascii="Times New Roman" w:hAnsi="Times New Roman" w:cs="Times New Roman"/>
                <w:b/>
                <w:bCs/>
                <w:color w:val="auto"/>
                <w:szCs w:val="21"/>
                <w:highlight w:val="none"/>
              </w:rPr>
            </w:pPr>
            <w:r>
              <w:rPr>
                <w:rFonts w:ascii="Times New Roman" w:hAnsi="Times New Roman" w:cs="Times New Roman"/>
                <w:b/>
                <w:color w:val="auto"/>
                <w:szCs w:val="21"/>
                <w:highlight w:val="none"/>
              </w:rPr>
              <w:t>监测点位</w:t>
            </w:r>
          </w:p>
        </w:tc>
        <w:tc>
          <w:tcPr>
            <w:tcW w:w="2136" w:type="dxa"/>
            <w:tcBorders>
              <w:tl2br w:val="nil"/>
              <w:tr2bl w:val="nil"/>
            </w:tcBorders>
            <w:shd w:val="clear" w:color="auto" w:fill="auto"/>
            <w:tcMar>
              <w:top w:w="80" w:type="dxa"/>
              <w:left w:w="80" w:type="dxa"/>
              <w:bottom w:w="80" w:type="dxa"/>
              <w:right w:w="80" w:type="dxa"/>
            </w:tcMar>
            <w:vAlign w:val="center"/>
          </w:tcPr>
          <w:p>
            <w:pPr>
              <w:jc w:val="center"/>
              <w:rPr>
                <w:rFonts w:ascii="Times New Roman" w:hAnsi="Times New Roman" w:cs="Times New Roman"/>
                <w:b/>
                <w:bCs/>
                <w:color w:val="auto"/>
                <w:szCs w:val="21"/>
                <w:highlight w:val="none"/>
              </w:rPr>
            </w:pPr>
            <w:r>
              <w:rPr>
                <w:rFonts w:ascii="Times New Roman" w:hAnsi="Times New Roman" w:cs="Times New Roman"/>
                <w:b/>
                <w:color w:val="auto"/>
                <w:szCs w:val="21"/>
                <w:highlight w:val="none"/>
              </w:rPr>
              <w:t>监测项目</w:t>
            </w:r>
          </w:p>
        </w:tc>
        <w:tc>
          <w:tcPr>
            <w:tcW w:w="2286" w:type="dxa"/>
            <w:tcBorders>
              <w:tl2br w:val="nil"/>
              <w:tr2bl w:val="nil"/>
            </w:tcBorders>
            <w:shd w:val="clear" w:color="auto" w:fill="auto"/>
            <w:tcMar>
              <w:top w:w="80" w:type="dxa"/>
              <w:left w:w="80" w:type="dxa"/>
              <w:bottom w:w="80" w:type="dxa"/>
              <w:right w:w="80" w:type="dxa"/>
            </w:tcMar>
            <w:vAlign w:val="center"/>
          </w:tcPr>
          <w:p>
            <w:pPr>
              <w:spacing w:line="276" w:lineRule="auto"/>
              <w:jc w:val="center"/>
              <w:rPr>
                <w:rFonts w:ascii="Times New Roman" w:hAnsi="Times New Roman" w:cs="Times New Roman"/>
                <w:b/>
                <w:bCs/>
                <w:color w:val="auto"/>
                <w:szCs w:val="21"/>
                <w:highlight w:val="none"/>
              </w:rPr>
            </w:pPr>
            <w:r>
              <w:rPr>
                <w:rFonts w:ascii="Times New Roman" w:hAnsi="Times New Roman" w:cs="Times New Roman"/>
                <w:b/>
                <w:color w:val="auto"/>
                <w:szCs w:val="21"/>
                <w:highlight w:val="none"/>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CED7E7"/>
          <w:tblCellMar>
            <w:top w:w="0" w:type="dxa"/>
            <w:left w:w="108" w:type="dxa"/>
            <w:bottom w:w="0" w:type="dxa"/>
            <w:right w:w="108" w:type="dxa"/>
          </w:tblCellMar>
        </w:tblPrEx>
        <w:trPr>
          <w:trHeight w:val="479" w:hRule="atLeast"/>
          <w:jc w:val="center"/>
        </w:trPr>
        <w:tc>
          <w:tcPr>
            <w:tcW w:w="654"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ascii="Times New Roman" w:hAnsi="Times New Roman" w:cs="Times New Roman" w:eastAsiaTheme="minorEastAsia"/>
                <w:color w:val="auto"/>
                <w:kern w:val="2"/>
                <w:sz w:val="21"/>
                <w:szCs w:val="21"/>
                <w:highlight w:val="none"/>
                <w:lang w:val="zh-TW" w:eastAsia="zh-TW" w:bidi="ar-SA"/>
              </w:rPr>
            </w:pPr>
            <w:r>
              <w:rPr>
                <w:rFonts w:ascii="Times New Roman" w:hAnsi="Times New Roman" w:cs="Times New Roman"/>
                <w:color w:val="auto"/>
                <w:szCs w:val="21"/>
                <w:highlight w:val="none"/>
              </w:rPr>
              <w:t>1</w:t>
            </w:r>
          </w:p>
        </w:tc>
        <w:tc>
          <w:tcPr>
            <w:tcW w:w="3384" w:type="dxa"/>
            <w:tcBorders>
              <w:tl2br w:val="nil"/>
              <w:tr2bl w:val="nil"/>
            </w:tcBorders>
            <w:shd w:val="clear" w:color="auto" w:fill="auto"/>
            <w:tcMar>
              <w:top w:w="80" w:type="dxa"/>
              <w:left w:w="80" w:type="dxa"/>
              <w:bottom w:w="80" w:type="dxa"/>
              <w:right w:w="80" w:type="dxa"/>
            </w:tcMar>
            <w:vAlign w:val="center"/>
          </w:tcPr>
          <w:p>
            <w:pPr>
              <w:ind w:left="237"/>
              <w:jc w:val="center"/>
              <w:rPr>
                <w:rFonts w:hint="default" w:ascii="Times New Roman" w:hAnsi="Times New Roman" w:cs="Times New Roman" w:eastAsiaTheme="minorEastAsia"/>
                <w:b/>
                <w:color w:val="auto"/>
                <w:szCs w:val="21"/>
                <w:highlight w:val="none"/>
                <w:lang w:val="en-US" w:eastAsia="zh-CN"/>
              </w:rPr>
            </w:pPr>
            <w:r>
              <w:rPr>
                <w:rFonts w:hint="eastAsia" w:ascii="Times New Roman" w:hAnsi="Times New Roman" w:cs="Times New Roman"/>
                <w:b w:val="0"/>
                <w:bCs/>
                <w:color w:val="auto"/>
                <w:szCs w:val="21"/>
                <w:highlight w:val="none"/>
                <w:lang w:val="en-US" w:eastAsia="zh-CN"/>
              </w:rPr>
              <w:t>废油液挥发有机废气</w:t>
            </w:r>
            <w:r>
              <w:rPr>
                <w:rFonts w:hint="eastAsia" w:ascii="宋体" w:hAnsi="宋体" w:eastAsia="宋体" w:cs="宋体"/>
                <w:b w:val="0"/>
                <w:bCs/>
                <w:color w:val="auto"/>
                <w:szCs w:val="21"/>
                <w:highlight w:val="none"/>
                <w:lang w:val="en-US" w:eastAsia="zh-CN"/>
              </w:rPr>
              <w:t>◎</w:t>
            </w:r>
            <w:r>
              <w:rPr>
                <w:rFonts w:ascii="Times New Roman" w:hAnsi="Times New Roman" w:cs="Times New Roman"/>
                <w:b w:val="0"/>
                <w:bCs/>
                <w:color w:val="auto"/>
                <w:szCs w:val="21"/>
                <w:highlight w:val="none"/>
              </w:rPr>
              <w:t>1#</w:t>
            </w:r>
          </w:p>
        </w:tc>
        <w:tc>
          <w:tcPr>
            <w:tcW w:w="2136" w:type="dxa"/>
            <w:tcBorders>
              <w:tl2br w:val="nil"/>
              <w:tr2bl w:val="nil"/>
            </w:tcBorders>
            <w:shd w:val="clear" w:color="auto" w:fill="auto"/>
            <w:tcMar>
              <w:top w:w="80" w:type="dxa"/>
              <w:left w:w="80" w:type="dxa"/>
              <w:bottom w:w="80" w:type="dxa"/>
              <w:right w:w="80" w:type="dxa"/>
            </w:tcMar>
            <w:vAlign w:val="center"/>
          </w:tcPr>
          <w:p>
            <w:pPr>
              <w:pStyle w:val="8"/>
              <w:spacing w:line="360" w:lineRule="exact"/>
              <w:ind w:firstLine="420" w:firstLineChars="0"/>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eastAsiaTheme="minorEastAsia"/>
                <w:color w:val="auto"/>
                <w:kern w:val="2"/>
                <w:sz w:val="21"/>
                <w:szCs w:val="21"/>
                <w:highlight w:val="none"/>
                <w:lang w:val="en-US" w:eastAsia="zh-CN" w:bidi="ar-SA"/>
              </w:rPr>
              <w:t>非甲烷总烃</w:t>
            </w:r>
          </w:p>
        </w:tc>
        <w:tc>
          <w:tcPr>
            <w:tcW w:w="2286" w:type="dxa"/>
            <w:tcBorders>
              <w:tl2br w:val="nil"/>
              <w:tr2bl w:val="nil"/>
            </w:tcBorders>
            <w:shd w:val="clear" w:color="auto" w:fill="auto"/>
            <w:tcMar>
              <w:top w:w="80" w:type="dxa"/>
              <w:left w:w="80" w:type="dxa"/>
              <w:bottom w:w="80" w:type="dxa"/>
              <w:right w:w="80" w:type="dxa"/>
            </w:tcMar>
            <w:vAlign w:val="center"/>
          </w:tcPr>
          <w:p>
            <w:pPr>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连续2天，每天3次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CED7E7"/>
          <w:tblCellMar>
            <w:top w:w="0" w:type="dxa"/>
            <w:left w:w="108" w:type="dxa"/>
            <w:bottom w:w="0" w:type="dxa"/>
            <w:right w:w="108" w:type="dxa"/>
          </w:tblCellMar>
        </w:tblPrEx>
        <w:trPr>
          <w:trHeight w:val="454" w:hRule="atLeast"/>
          <w:jc w:val="center"/>
        </w:trPr>
        <w:tc>
          <w:tcPr>
            <w:tcW w:w="654"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2</w:t>
            </w:r>
          </w:p>
        </w:tc>
        <w:tc>
          <w:tcPr>
            <w:tcW w:w="3384"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hint="default" w:ascii="Times New Roman" w:hAnsi="Times New Roman" w:eastAsia="宋体" w:cstheme="minorBidi"/>
                <w:color w:val="auto"/>
                <w:kern w:val="2"/>
                <w:sz w:val="21"/>
                <w:szCs w:val="21"/>
                <w:highlight w:val="none"/>
                <w:lang w:val="en-US" w:eastAsia="zh-CN" w:bidi="ar-SA"/>
              </w:rPr>
            </w:pPr>
            <w:r>
              <w:rPr>
                <w:rFonts w:hint="eastAsia" w:ascii="Times New Roman" w:hAnsi="Times New Roman"/>
                <w:color w:val="auto"/>
                <w:szCs w:val="21"/>
                <w:highlight w:val="none"/>
                <w:lang w:val="en-US" w:eastAsia="zh-CN"/>
              </w:rPr>
              <w:t>厂房一</w:t>
            </w:r>
            <w:r>
              <w:rPr>
                <w:rFonts w:hint="eastAsia" w:cs="Times New Roman"/>
                <w:color w:val="auto"/>
                <w:sz w:val="21"/>
                <w:szCs w:val="21"/>
                <w:highlight w:val="none"/>
                <w:lang w:eastAsia="zh-CN"/>
              </w:rPr>
              <w:t>车间外</w:t>
            </w:r>
            <w:r>
              <w:rPr>
                <w:rFonts w:hint="default" w:ascii="Times New Roman" w:hAnsi="Times New Roman" w:eastAsia="宋体" w:cs="Times New Roman"/>
                <w:color w:val="auto"/>
                <w:sz w:val="21"/>
                <w:szCs w:val="21"/>
                <w:highlight w:val="none"/>
                <w:lang w:val="en-US" w:eastAsia="zh-CN"/>
              </w:rPr>
              <w:t>1m监测点</w:t>
            </w:r>
            <w:r>
              <w:rPr>
                <w:rFonts w:hint="eastAsia" w:ascii="宋体" w:hAnsi="宋体"/>
                <w:color w:val="auto"/>
                <w:szCs w:val="21"/>
                <w:highlight w:val="none"/>
              </w:rPr>
              <w:t>○</w:t>
            </w:r>
            <w:r>
              <w:rPr>
                <w:rFonts w:ascii="Times New Roman" w:hAnsi="Times New Roman" w:cs="Times New Roman"/>
                <w:color w:val="auto"/>
                <w:szCs w:val="21"/>
                <w:highlight w:val="none"/>
              </w:rPr>
              <w:t>4#</w:t>
            </w:r>
          </w:p>
        </w:tc>
        <w:tc>
          <w:tcPr>
            <w:tcW w:w="2136" w:type="dxa"/>
            <w:tcBorders>
              <w:tl2br w:val="nil"/>
              <w:tr2bl w:val="nil"/>
            </w:tcBorders>
            <w:shd w:val="clear" w:color="auto" w:fill="auto"/>
            <w:tcMar>
              <w:top w:w="80" w:type="dxa"/>
              <w:left w:w="80" w:type="dxa"/>
              <w:bottom w:w="80" w:type="dxa"/>
              <w:right w:w="80" w:type="dxa"/>
            </w:tcMar>
            <w:vAlign w:val="center"/>
          </w:tcPr>
          <w:p>
            <w:pPr>
              <w:pStyle w:val="8"/>
              <w:spacing w:line="360" w:lineRule="exact"/>
              <w:ind w:firstLine="420" w:firstLineChars="0"/>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eastAsiaTheme="minorEastAsia"/>
                <w:color w:val="auto"/>
                <w:kern w:val="2"/>
                <w:sz w:val="21"/>
                <w:szCs w:val="21"/>
                <w:highlight w:val="none"/>
                <w:lang w:val="en-US" w:eastAsia="zh-CN" w:bidi="ar-SA"/>
              </w:rPr>
              <w:t>非甲烷总烃</w:t>
            </w:r>
          </w:p>
        </w:tc>
        <w:tc>
          <w:tcPr>
            <w:tcW w:w="2286" w:type="dxa"/>
            <w:tcBorders>
              <w:tl2br w:val="nil"/>
              <w:tr2bl w:val="nil"/>
            </w:tcBorders>
            <w:shd w:val="clear" w:color="auto" w:fill="auto"/>
            <w:tcMar>
              <w:top w:w="80" w:type="dxa"/>
              <w:left w:w="80" w:type="dxa"/>
              <w:bottom w:w="80" w:type="dxa"/>
              <w:right w:w="80" w:type="dxa"/>
            </w:tcMar>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连续2天，每天3次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3</w:t>
            </w:r>
          </w:p>
        </w:tc>
        <w:tc>
          <w:tcPr>
            <w:tcW w:w="3384"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ascii="Times New Roman" w:hAnsi="Times New Roman" w:eastAsiaTheme="minorEastAsia" w:cstheme="minorBidi"/>
                <w:color w:val="auto"/>
                <w:kern w:val="2"/>
                <w:sz w:val="21"/>
                <w:szCs w:val="21"/>
                <w:highlight w:val="none"/>
                <w:lang w:val="en-US" w:eastAsia="zh-CN" w:bidi="ar-SA"/>
              </w:rPr>
            </w:pPr>
            <w:r>
              <w:rPr>
                <w:rFonts w:hint="eastAsia" w:ascii="Times New Roman" w:hAnsi="Times New Roman"/>
                <w:color w:val="auto"/>
                <w:szCs w:val="21"/>
                <w:highlight w:val="none"/>
                <w:lang w:val="en-US" w:eastAsia="zh-CN"/>
              </w:rPr>
              <w:t>厂房二</w:t>
            </w:r>
            <w:r>
              <w:rPr>
                <w:rFonts w:hint="eastAsia" w:cs="Times New Roman"/>
                <w:color w:val="auto"/>
                <w:sz w:val="21"/>
                <w:szCs w:val="21"/>
                <w:highlight w:val="none"/>
                <w:lang w:eastAsia="zh-CN"/>
              </w:rPr>
              <w:t>车间外</w:t>
            </w:r>
            <w:r>
              <w:rPr>
                <w:rFonts w:hint="default" w:ascii="Times New Roman" w:hAnsi="Times New Roman" w:eastAsia="宋体" w:cs="Times New Roman"/>
                <w:color w:val="auto"/>
                <w:sz w:val="21"/>
                <w:szCs w:val="21"/>
                <w:highlight w:val="none"/>
                <w:lang w:val="en-US" w:eastAsia="zh-CN"/>
              </w:rPr>
              <w:t>1m监测点</w:t>
            </w:r>
            <w:r>
              <w:rPr>
                <w:rFonts w:hint="eastAsia" w:ascii="宋体" w:hAnsi="宋体"/>
                <w:color w:val="auto"/>
                <w:szCs w:val="21"/>
                <w:highlight w:val="none"/>
              </w:rPr>
              <w:t>○</w:t>
            </w:r>
            <w:r>
              <w:rPr>
                <w:rFonts w:hint="eastAsia" w:ascii="Times New Roman" w:hAnsi="Times New Roman" w:cs="Times New Roman"/>
                <w:color w:val="auto"/>
                <w:szCs w:val="21"/>
                <w:highlight w:val="none"/>
                <w:lang w:val="en-US" w:eastAsia="zh-CN"/>
              </w:rPr>
              <w:t>5</w:t>
            </w:r>
            <w:r>
              <w:rPr>
                <w:rFonts w:ascii="Times New Roman" w:hAnsi="Times New Roman" w:cs="Times New Roman"/>
                <w:color w:val="auto"/>
                <w:szCs w:val="21"/>
                <w:highlight w:val="none"/>
              </w:rPr>
              <w:t>#</w:t>
            </w:r>
          </w:p>
        </w:tc>
        <w:tc>
          <w:tcPr>
            <w:tcW w:w="2136" w:type="dxa"/>
            <w:tcBorders>
              <w:tl2br w:val="nil"/>
              <w:tr2bl w:val="nil"/>
            </w:tcBorders>
            <w:shd w:val="clear" w:color="auto" w:fill="auto"/>
            <w:tcMar>
              <w:top w:w="80" w:type="dxa"/>
              <w:left w:w="80" w:type="dxa"/>
              <w:bottom w:w="80" w:type="dxa"/>
              <w:right w:w="80" w:type="dxa"/>
            </w:tcMar>
            <w:vAlign w:val="center"/>
          </w:tcPr>
          <w:p>
            <w:pPr>
              <w:pStyle w:val="8"/>
              <w:spacing w:line="360" w:lineRule="exact"/>
              <w:ind w:firstLine="420" w:firstLineChars="0"/>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eastAsiaTheme="minorEastAsia"/>
                <w:color w:val="auto"/>
                <w:kern w:val="2"/>
                <w:sz w:val="21"/>
                <w:szCs w:val="21"/>
                <w:highlight w:val="none"/>
                <w:lang w:val="en-US" w:eastAsia="zh-CN" w:bidi="ar-SA"/>
              </w:rPr>
              <w:t>非甲烷总烃</w:t>
            </w:r>
          </w:p>
        </w:tc>
        <w:tc>
          <w:tcPr>
            <w:tcW w:w="2286" w:type="dxa"/>
            <w:tcBorders>
              <w:tl2br w:val="nil"/>
              <w:tr2bl w:val="nil"/>
            </w:tcBorders>
            <w:shd w:val="clear" w:color="auto" w:fill="auto"/>
            <w:tcMar>
              <w:top w:w="80" w:type="dxa"/>
              <w:left w:w="80" w:type="dxa"/>
              <w:bottom w:w="80" w:type="dxa"/>
              <w:right w:w="80" w:type="dxa"/>
            </w:tcMar>
            <w:vAlign w:val="center"/>
          </w:tcPr>
          <w:p>
            <w:pPr>
              <w:spacing w:line="276" w:lineRule="auto"/>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连续2天，每天3次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4</w:t>
            </w:r>
          </w:p>
        </w:tc>
        <w:tc>
          <w:tcPr>
            <w:tcW w:w="3384"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厂界</w:t>
            </w:r>
            <w:r>
              <w:rPr>
                <w:rFonts w:ascii="Times New Roman" w:hAnsi="Times New Roman" w:cs="Times New Roman"/>
                <w:color w:val="auto"/>
                <w:szCs w:val="21"/>
                <w:highlight w:val="none"/>
              </w:rPr>
              <w:t>上</w:t>
            </w:r>
            <w:r>
              <w:rPr>
                <w:rFonts w:hint="eastAsia" w:ascii="Times New Roman" w:hAnsi="Times New Roman" w:cs="Times New Roman"/>
                <w:color w:val="auto"/>
                <w:szCs w:val="21"/>
                <w:highlight w:val="none"/>
                <w:lang w:eastAsia="zh-CN"/>
              </w:rPr>
              <w:t>风向</w:t>
            </w:r>
            <w:r>
              <w:rPr>
                <w:rFonts w:hint="eastAsia" w:ascii="宋体" w:hAnsi="宋体"/>
                <w:color w:val="auto"/>
                <w:szCs w:val="21"/>
                <w:highlight w:val="none"/>
              </w:rPr>
              <w:t>○</w:t>
            </w:r>
            <w:r>
              <w:rPr>
                <w:rFonts w:hint="eastAsia" w:ascii="Times New Roman" w:hAnsi="Times New Roman" w:cs="Times New Roman"/>
                <w:color w:val="auto"/>
                <w:szCs w:val="21"/>
                <w:highlight w:val="none"/>
                <w:lang w:val="en-US" w:eastAsia="zh-CN"/>
              </w:rPr>
              <w:t>6</w:t>
            </w:r>
            <w:r>
              <w:rPr>
                <w:rFonts w:ascii="Times New Roman" w:hAnsi="Times New Roman" w:cs="Times New Roman"/>
                <w:color w:val="auto"/>
                <w:szCs w:val="21"/>
                <w:highlight w:val="none"/>
              </w:rPr>
              <w:t>#、下风向</w:t>
            </w:r>
            <w:r>
              <w:rPr>
                <w:rFonts w:hint="eastAsia" w:ascii="宋体" w:hAnsi="宋体"/>
                <w:color w:val="auto"/>
                <w:szCs w:val="21"/>
                <w:highlight w:val="none"/>
              </w:rPr>
              <w:t>○</w:t>
            </w:r>
            <w:r>
              <w:rPr>
                <w:rFonts w:hint="eastAsia" w:ascii="Times New Roman" w:hAnsi="Times New Roman" w:cs="Times New Roman"/>
                <w:color w:val="auto"/>
                <w:szCs w:val="21"/>
                <w:highlight w:val="none"/>
                <w:lang w:val="en-US" w:eastAsia="zh-CN"/>
              </w:rPr>
              <w:t>7</w:t>
            </w:r>
            <w:r>
              <w:rPr>
                <w:rFonts w:ascii="Times New Roman" w:hAnsi="Times New Roman" w:cs="Times New Roman"/>
                <w:color w:val="auto"/>
                <w:szCs w:val="21"/>
                <w:highlight w:val="none"/>
              </w:rPr>
              <w:t>#</w:t>
            </w:r>
          </w:p>
        </w:tc>
        <w:tc>
          <w:tcPr>
            <w:tcW w:w="2136"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非甲烷总烃、颗粒物、氟化物</w:t>
            </w:r>
          </w:p>
        </w:tc>
        <w:tc>
          <w:tcPr>
            <w:tcW w:w="2286" w:type="dxa"/>
            <w:tcBorders>
              <w:tl2br w:val="nil"/>
              <w:tr2bl w:val="nil"/>
            </w:tcBorders>
            <w:shd w:val="clear" w:color="auto" w:fill="auto"/>
            <w:tcMar>
              <w:top w:w="80" w:type="dxa"/>
              <w:left w:w="80" w:type="dxa"/>
              <w:bottom w:w="80" w:type="dxa"/>
              <w:right w:w="80" w:type="dxa"/>
            </w:tcMar>
            <w:vAlign w:val="center"/>
          </w:tcPr>
          <w:p>
            <w:pPr>
              <w:spacing w:line="276" w:lineRule="auto"/>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连续2天，每天3次</w:t>
            </w:r>
          </w:p>
        </w:tc>
      </w:tr>
    </w:tbl>
    <w:p>
      <w:pPr>
        <w:pStyle w:val="4"/>
        <w:spacing w:before="0" w:after="0" w:line="360" w:lineRule="auto"/>
        <w:rPr>
          <w:rFonts w:ascii="Times New Roman" w:hAnsi="Times New Roman" w:cs="Times New Roman" w:eastAsiaTheme="minorEastAsia"/>
          <w:color w:val="auto"/>
          <w:sz w:val="24"/>
          <w:szCs w:val="24"/>
          <w:highlight w:val="none"/>
        </w:rPr>
      </w:pPr>
      <w:bookmarkStart w:id="52" w:name="_Toc14438"/>
      <w:r>
        <w:rPr>
          <w:rFonts w:ascii="Times New Roman" w:hAnsi="Times New Roman" w:cs="Times New Roman" w:eastAsiaTheme="minorEastAsia"/>
          <w:color w:val="auto"/>
          <w:sz w:val="24"/>
          <w:szCs w:val="24"/>
          <w:highlight w:val="none"/>
        </w:rPr>
        <w:t>7.</w:t>
      </w:r>
      <w:r>
        <w:rPr>
          <w:rFonts w:hint="eastAsia" w:ascii="Times New Roman" w:hAnsi="Times New Roman" w:cs="Times New Roman" w:eastAsiaTheme="minorEastAsia"/>
          <w:color w:val="auto"/>
          <w:sz w:val="24"/>
          <w:szCs w:val="24"/>
          <w:highlight w:val="none"/>
        </w:rPr>
        <w:t>2废水</w:t>
      </w:r>
      <w:bookmarkEnd w:id="52"/>
    </w:p>
    <w:p>
      <w:pPr>
        <w:spacing w:line="400" w:lineRule="exact"/>
        <w:ind w:firstLine="480" w:firstLineChars="200"/>
        <w:rPr>
          <w:rFonts w:ascii="Times New Roman" w:hAnsi="Times New Roman" w:cs="Times New Roman"/>
          <w:bCs/>
          <w:color w:val="auto"/>
          <w:sz w:val="24"/>
          <w:szCs w:val="24"/>
          <w:highlight w:val="none"/>
        </w:rPr>
      </w:pPr>
      <w:r>
        <w:rPr>
          <w:rFonts w:ascii="Times New Roman" w:hAnsi="Times New Roman" w:cs="Times New Roman"/>
          <w:bCs/>
          <w:color w:val="auto"/>
          <w:sz w:val="24"/>
          <w:szCs w:val="24"/>
          <w:highlight w:val="none"/>
        </w:rPr>
        <w:t>项目废</w:t>
      </w:r>
      <w:r>
        <w:rPr>
          <w:rFonts w:hint="eastAsia" w:ascii="Times New Roman" w:hAnsi="Times New Roman" w:cs="Times New Roman"/>
          <w:bCs/>
          <w:color w:val="auto"/>
          <w:sz w:val="24"/>
          <w:szCs w:val="24"/>
          <w:highlight w:val="none"/>
        </w:rPr>
        <w:t>水</w:t>
      </w:r>
      <w:r>
        <w:rPr>
          <w:rFonts w:ascii="Times New Roman" w:hAnsi="Times New Roman" w:cs="Times New Roman"/>
          <w:bCs/>
          <w:color w:val="auto"/>
          <w:sz w:val="24"/>
          <w:szCs w:val="24"/>
          <w:highlight w:val="none"/>
        </w:rPr>
        <w:t>监测因子及采样频次详细见表7-</w:t>
      </w:r>
      <w:r>
        <w:rPr>
          <w:rFonts w:hint="eastAsia" w:ascii="Times New Roman" w:hAnsi="Times New Roman" w:cs="Times New Roman"/>
          <w:bCs/>
          <w:color w:val="auto"/>
          <w:sz w:val="24"/>
          <w:szCs w:val="24"/>
          <w:highlight w:val="none"/>
        </w:rPr>
        <w:t>2</w:t>
      </w:r>
      <w:r>
        <w:rPr>
          <w:rFonts w:ascii="Times New Roman" w:hAnsi="Times New Roman" w:cs="Times New Roman"/>
          <w:bCs/>
          <w:color w:val="auto"/>
          <w:sz w:val="24"/>
          <w:szCs w:val="24"/>
          <w:highlight w:val="none"/>
        </w:rPr>
        <w:t>。</w:t>
      </w:r>
    </w:p>
    <w:p>
      <w:pPr>
        <w:spacing w:line="400" w:lineRule="exact"/>
        <w:jc w:val="center"/>
        <w:rPr>
          <w:rFonts w:ascii="Times New Roman" w:hAnsi="Times New Roman" w:cs="Times New Roman"/>
          <w:b/>
          <w:bCs/>
          <w:color w:val="auto"/>
          <w:sz w:val="24"/>
          <w:szCs w:val="24"/>
          <w:highlight w:val="none"/>
        </w:rPr>
      </w:pPr>
      <w:r>
        <w:rPr>
          <w:rFonts w:ascii="Times New Roman" w:hAnsi="Times New Roman" w:cs="Times New Roman"/>
          <w:b/>
          <w:bCs/>
          <w:color w:val="auto"/>
          <w:sz w:val="24"/>
          <w:szCs w:val="24"/>
          <w:highlight w:val="none"/>
        </w:rPr>
        <w:t>表7-</w:t>
      </w:r>
      <w:r>
        <w:rPr>
          <w:rFonts w:hint="eastAsia" w:ascii="Times New Roman" w:hAnsi="Times New Roman" w:cs="Times New Roman"/>
          <w:b/>
          <w:bCs/>
          <w:color w:val="auto"/>
          <w:sz w:val="24"/>
          <w:szCs w:val="24"/>
          <w:highlight w:val="none"/>
        </w:rPr>
        <w:t>2废水</w:t>
      </w:r>
      <w:r>
        <w:rPr>
          <w:rFonts w:ascii="Times New Roman" w:hAnsi="Times New Roman" w:cs="Times New Roman"/>
          <w:b/>
          <w:bCs/>
          <w:color w:val="auto"/>
          <w:sz w:val="24"/>
          <w:szCs w:val="24"/>
          <w:highlight w:val="none"/>
        </w:rPr>
        <w:t>监测内容</w:t>
      </w:r>
    </w:p>
    <w:tbl>
      <w:tblPr>
        <w:tblStyle w:val="23"/>
        <w:tblW w:w="846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CED7E7"/>
        <w:tblLayout w:type="fixed"/>
        <w:tblCellMar>
          <w:top w:w="0" w:type="dxa"/>
          <w:left w:w="108" w:type="dxa"/>
          <w:bottom w:w="0" w:type="dxa"/>
          <w:right w:w="108" w:type="dxa"/>
        </w:tblCellMar>
      </w:tblPr>
      <w:tblGrid>
        <w:gridCol w:w="654"/>
        <w:gridCol w:w="2085"/>
        <w:gridCol w:w="3435"/>
        <w:gridCol w:w="22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CED7E7"/>
          <w:tblCellMar>
            <w:top w:w="0" w:type="dxa"/>
            <w:left w:w="108" w:type="dxa"/>
            <w:bottom w:w="0" w:type="dxa"/>
            <w:right w:w="108" w:type="dxa"/>
          </w:tblCellMar>
        </w:tblPrEx>
        <w:trPr>
          <w:trHeight w:val="454" w:hRule="atLeast"/>
          <w:jc w:val="center"/>
        </w:trPr>
        <w:tc>
          <w:tcPr>
            <w:tcW w:w="654" w:type="dxa"/>
            <w:tcBorders>
              <w:tl2br w:val="nil"/>
              <w:tr2bl w:val="nil"/>
            </w:tcBorders>
            <w:shd w:val="clear" w:color="auto" w:fill="auto"/>
            <w:tcMar>
              <w:top w:w="80" w:type="dxa"/>
              <w:left w:w="80" w:type="dxa"/>
              <w:bottom w:w="80" w:type="dxa"/>
              <w:right w:w="80" w:type="dxa"/>
            </w:tcMar>
            <w:vAlign w:val="center"/>
          </w:tcPr>
          <w:p>
            <w:pPr>
              <w:spacing w:line="276" w:lineRule="auto"/>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lang w:val="zh-TW" w:eastAsia="zh-TW"/>
              </w:rPr>
              <w:t>序号</w:t>
            </w:r>
          </w:p>
        </w:tc>
        <w:tc>
          <w:tcPr>
            <w:tcW w:w="2085" w:type="dxa"/>
            <w:tcBorders>
              <w:tl2br w:val="nil"/>
              <w:tr2bl w:val="nil"/>
            </w:tcBorders>
            <w:shd w:val="clear" w:color="auto" w:fill="auto"/>
            <w:tcMar>
              <w:top w:w="80" w:type="dxa"/>
              <w:left w:w="80" w:type="dxa"/>
              <w:bottom w:w="80" w:type="dxa"/>
              <w:right w:w="80" w:type="dxa"/>
            </w:tcMar>
            <w:vAlign w:val="center"/>
          </w:tcPr>
          <w:p>
            <w:pPr>
              <w:ind w:left="237"/>
              <w:jc w:val="center"/>
              <w:rPr>
                <w:rFonts w:ascii="Times New Roman" w:hAnsi="Times New Roman" w:cs="Times New Roman"/>
                <w:b/>
                <w:bCs/>
                <w:color w:val="auto"/>
                <w:szCs w:val="21"/>
                <w:highlight w:val="none"/>
              </w:rPr>
            </w:pPr>
            <w:r>
              <w:rPr>
                <w:rFonts w:ascii="Times New Roman" w:hAnsi="Times New Roman" w:cs="Times New Roman"/>
                <w:b/>
                <w:color w:val="auto"/>
                <w:szCs w:val="21"/>
                <w:highlight w:val="none"/>
              </w:rPr>
              <w:t>监测点位</w:t>
            </w:r>
          </w:p>
        </w:tc>
        <w:tc>
          <w:tcPr>
            <w:tcW w:w="3435" w:type="dxa"/>
            <w:tcBorders>
              <w:tl2br w:val="nil"/>
              <w:tr2bl w:val="nil"/>
            </w:tcBorders>
            <w:shd w:val="clear" w:color="auto" w:fill="auto"/>
            <w:tcMar>
              <w:top w:w="80" w:type="dxa"/>
              <w:left w:w="80" w:type="dxa"/>
              <w:bottom w:w="80" w:type="dxa"/>
              <w:right w:w="80" w:type="dxa"/>
            </w:tcMar>
            <w:vAlign w:val="center"/>
          </w:tcPr>
          <w:p>
            <w:pPr>
              <w:jc w:val="center"/>
              <w:rPr>
                <w:rFonts w:ascii="Times New Roman" w:hAnsi="Times New Roman" w:cs="Times New Roman"/>
                <w:b/>
                <w:bCs/>
                <w:color w:val="auto"/>
                <w:szCs w:val="21"/>
                <w:highlight w:val="none"/>
              </w:rPr>
            </w:pPr>
            <w:r>
              <w:rPr>
                <w:rFonts w:ascii="Times New Roman" w:hAnsi="Times New Roman" w:cs="Times New Roman"/>
                <w:b/>
                <w:color w:val="auto"/>
                <w:szCs w:val="21"/>
                <w:highlight w:val="none"/>
              </w:rPr>
              <w:t>监测项目</w:t>
            </w:r>
          </w:p>
        </w:tc>
        <w:tc>
          <w:tcPr>
            <w:tcW w:w="2286" w:type="dxa"/>
            <w:tcBorders>
              <w:tl2br w:val="nil"/>
              <w:tr2bl w:val="nil"/>
            </w:tcBorders>
            <w:shd w:val="clear" w:color="auto" w:fill="auto"/>
            <w:tcMar>
              <w:top w:w="80" w:type="dxa"/>
              <w:left w:w="80" w:type="dxa"/>
              <w:bottom w:w="80" w:type="dxa"/>
              <w:right w:w="80" w:type="dxa"/>
            </w:tcMar>
            <w:vAlign w:val="center"/>
          </w:tcPr>
          <w:p>
            <w:pPr>
              <w:spacing w:line="276" w:lineRule="auto"/>
              <w:jc w:val="center"/>
              <w:rPr>
                <w:rFonts w:ascii="Times New Roman" w:hAnsi="Times New Roman" w:cs="Times New Roman"/>
                <w:b/>
                <w:bCs/>
                <w:color w:val="auto"/>
                <w:szCs w:val="21"/>
                <w:highlight w:val="none"/>
              </w:rPr>
            </w:pPr>
            <w:r>
              <w:rPr>
                <w:rFonts w:ascii="Times New Roman" w:hAnsi="Times New Roman" w:cs="Times New Roman"/>
                <w:b/>
                <w:color w:val="auto"/>
                <w:szCs w:val="21"/>
                <w:highlight w:val="none"/>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1</w:t>
            </w:r>
          </w:p>
        </w:tc>
        <w:tc>
          <w:tcPr>
            <w:tcW w:w="2085"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ascii="Times New Roman" w:hAnsi="Times New Roman" w:eastAsiaTheme="minorEastAsia" w:cstheme="minorBidi"/>
                <w:color w:val="auto"/>
                <w:kern w:val="2"/>
                <w:sz w:val="21"/>
                <w:szCs w:val="21"/>
                <w:highlight w:val="none"/>
                <w:lang w:val="en-US" w:eastAsia="zh-CN" w:bidi="ar-SA"/>
              </w:rPr>
            </w:pPr>
            <w:r>
              <w:rPr>
                <w:rFonts w:ascii="Times New Roman" w:hAnsi="Times New Roman"/>
                <w:color w:val="auto"/>
                <w:szCs w:val="21"/>
                <w:highlight w:val="none"/>
              </w:rPr>
              <w:t>生产废水进口</w:t>
            </w:r>
            <w:r>
              <w:rPr>
                <w:rFonts w:ascii="Times New Roman" w:hAnsi="Times New Roman" w:cs="Times New Roman"/>
                <w:color w:val="auto"/>
                <w:szCs w:val="21"/>
                <w:highlight w:val="none"/>
              </w:rPr>
              <w:t>★1#</w:t>
            </w:r>
          </w:p>
        </w:tc>
        <w:tc>
          <w:tcPr>
            <w:tcW w:w="3435"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ascii="Times New Roman" w:hAnsi="Times New Roman" w:eastAsiaTheme="minorEastAsia" w:cstheme="minorBidi"/>
                <w:color w:val="auto"/>
                <w:kern w:val="2"/>
                <w:sz w:val="21"/>
                <w:szCs w:val="21"/>
                <w:highlight w:val="none"/>
                <w:lang w:val="en-US" w:eastAsia="zh-CN" w:bidi="ar-SA"/>
              </w:rPr>
            </w:pPr>
            <w:r>
              <w:rPr>
                <w:rFonts w:ascii="Times New Roman" w:hAnsi="Times New Roman"/>
                <w:color w:val="auto"/>
                <w:szCs w:val="21"/>
                <w:highlight w:val="none"/>
              </w:rPr>
              <w:t>pH值、CODcr、SS、石油类、氨氮、总磷</w:t>
            </w:r>
          </w:p>
        </w:tc>
        <w:tc>
          <w:tcPr>
            <w:tcW w:w="2286" w:type="dxa"/>
            <w:tcBorders>
              <w:tl2br w:val="nil"/>
              <w:tr2bl w:val="nil"/>
            </w:tcBorders>
            <w:shd w:val="clear" w:color="auto" w:fill="auto"/>
            <w:tcMar>
              <w:top w:w="80" w:type="dxa"/>
              <w:left w:w="80" w:type="dxa"/>
              <w:bottom w:w="80" w:type="dxa"/>
              <w:right w:w="80" w:type="dxa"/>
            </w:tcMar>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连续2天，每天</w:t>
            </w:r>
            <w:r>
              <w:rPr>
                <w:rFonts w:hint="eastAsia" w:ascii="Times New Roman" w:hAnsi="Times New Roman" w:cs="Times New Roman"/>
                <w:color w:val="auto"/>
                <w:szCs w:val="21"/>
                <w:highlight w:val="none"/>
                <w:lang w:val="en-US" w:eastAsia="zh-CN"/>
              </w:rPr>
              <w:t>1</w:t>
            </w:r>
            <w:r>
              <w:rPr>
                <w:rFonts w:ascii="Times New Roman" w:hAnsi="Times New Roman" w:cs="Times New Roman"/>
                <w:color w:val="auto"/>
                <w:szCs w:val="21"/>
                <w:highlight w:val="none"/>
              </w:rPr>
              <w:t>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2</w:t>
            </w:r>
          </w:p>
        </w:tc>
        <w:tc>
          <w:tcPr>
            <w:tcW w:w="2085"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ascii="Times New Roman" w:hAnsi="Times New Roman" w:cs="Times New Roman"/>
                <w:color w:val="auto"/>
                <w:szCs w:val="21"/>
                <w:highlight w:val="none"/>
                <w:lang w:val="en-US" w:eastAsia="zh-CN"/>
              </w:rPr>
            </w:pPr>
            <w:r>
              <w:rPr>
                <w:rFonts w:ascii="Times New Roman" w:hAnsi="Times New Roman" w:cs="Times New Roman"/>
                <w:color w:val="auto"/>
                <w:szCs w:val="21"/>
                <w:highlight w:val="none"/>
              </w:rPr>
              <w:t>生产废水出口</w:t>
            </w:r>
            <w:r>
              <w:rPr>
                <w:rFonts w:hint="eastAsia" w:ascii="Times New Roman" w:hAnsi="Times New Roman" w:cs="Times New Roman"/>
                <w:color w:val="auto"/>
                <w:szCs w:val="21"/>
                <w:highlight w:val="none"/>
              </w:rPr>
              <w:t>★</w:t>
            </w:r>
            <w:r>
              <w:rPr>
                <w:rFonts w:ascii="Times New Roman" w:hAnsi="Times New Roman" w:cs="Times New Roman"/>
                <w:color w:val="auto"/>
                <w:szCs w:val="21"/>
                <w:highlight w:val="none"/>
              </w:rPr>
              <w:t>2#</w:t>
            </w:r>
          </w:p>
        </w:tc>
        <w:tc>
          <w:tcPr>
            <w:tcW w:w="3435"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ascii="Times New Roman" w:hAnsi="Times New Roman" w:eastAsiaTheme="minorEastAsia" w:cstheme="minorBidi"/>
                <w:color w:val="auto"/>
                <w:kern w:val="2"/>
                <w:sz w:val="21"/>
                <w:szCs w:val="21"/>
                <w:highlight w:val="none"/>
                <w:lang w:val="en-US" w:eastAsia="zh-CN" w:bidi="ar-SA"/>
              </w:rPr>
            </w:pPr>
            <w:r>
              <w:rPr>
                <w:rFonts w:ascii="Times New Roman" w:hAnsi="Times New Roman"/>
                <w:color w:val="auto"/>
                <w:szCs w:val="21"/>
                <w:highlight w:val="none"/>
              </w:rPr>
              <w:t>pH值、CODcr、SS、石油类、氨氮、总磷</w:t>
            </w:r>
          </w:p>
        </w:tc>
        <w:tc>
          <w:tcPr>
            <w:tcW w:w="2286" w:type="dxa"/>
            <w:tcBorders>
              <w:tl2br w:val="nil"/>
              <w:tr2bl w:val="nil"/>
            </w:tcBorders>
            <w:shd w:val="clear" w:color="auto" w:fill="auto"/>
            <w:tcMar>
              <w:top w:w="80" w:type="dxa"/>
              <w:left w:w="80" w:type="dxa"/>
              <w:bottom w:w="80" w:type="dxa"/>
              <w:right w:w="80" w:type="dxa"/>
            </w:tcMar>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连续2天，每天</w:t>
            </w:r>
            <w:r>
              <w:rPr>
                <w:rFonts w:hint="eastAsia" w:ascii="Times New Roman" w:hAnsi="Times New Roman" w:cs="Times New Roman"/>
                <w:color w:val="auto"/>
                <w:szCs w:val="21"/>
                <w:highlight w:val="none"/>
                <w:lang w:val="en-US" w:eastAsia="zh-CN"/>
              </w:rPr>
              <w:t>3</w:t>
            </w:r>
            <w:r>
              <w:rPr>
                <w:rFonts w:ascii="Times New Roman" w:hAnsi="Times New Roman" w:cs="Times New Roman"/>
                <w:color w:val="auto"/>
                <w:szCs w:val="21"/>
                <w:highlight w:val="none"/>
              </w:rPr>
              <w:t>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3</w:t>
            </w:r>
          </w:p>
        </w:tc>
        <w:tc>
          <w:tcPr>
            <w:tcW w:w="2085"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ascii="Times New Roman" w:hAnsi="Times New Roman" w:cs="Times New Roman"/>
                <w:color w:val="auto"/>
                <w:szCs w:val="21"/>
                <w:highlight w:val="none"/>
                <w:lang w:val="en-US" w:eastAsia="zh-CN"/>
              </w:rPr>
            </w:pPr>
            <w:r>
              <w:rPr>
                <w:rFonts w:ascii="Times New Roman" w:hAnsi="Times New Roman" w:cs="Times New Roman"/>
                <w:color w:val="auto"/>
                <w:szCs w:val="21"/>
                <w:highlight w:val="none"/>
              </w:rPr>
              <w:t>厂区总排口出口</w:t>
            </w:r>
            <w:r>
              <w:rPr>
                <w:rFonts w:hint="eastAsia" w:ascii="Times New Roman" w:hAnsi="Times New Roman" w:cs="Times New Roman"/>
                <w:color w:val="auto"/>
                <w:szCs w:val="21"/>
                <w:highlight w:val="none"/>
              </w:rPr>
              <w:t>★</w:t>
            </w:r>
            <w:r>
              <w:rPr>
                <w:rFonts w:hint="eastAsia" w:ascii="Times New Roman" w:hAnsi="Times New Roman" w:cs="Times New Roman"/>
                <w:color w:val="auto"/>
                <w:szCs w:val="21"/>
                <w:highlight w:val="none"/>
                <w:lang w:val="en-US" w:eastAsia="zh-CN"/>
              </w:rPr>
              <w:t>3</w:t>
            </w:r>
            <w:r>
              <w:rPr>
                <w:rFonts w:ascii="Times New Roman" w:hAnsi="Times New Roman" w:cs="Times New Roman"/>
                <w:color w:val="auto"/>
                <w:szCs w:val="21"/>
                <w:highlight w:val="none"/>
              </w:rPr>
              <w:t>#</w:t>
            </w:r>
          </w:p>
        </w:tc>
        <w:tc>
          <w:tcPr>
            <w:tcW w:w="3435"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ascii="Times New Roman" w:hAnsi="Times New Roman" w:eastAsiaTheme="minorEastAsia" w:cstheme="minorBidi"/>
                <w:color w:val="auto"/>
                <w:kern w:val="2"/>
                <w:sz w:val="21"/>
                <w:szCs w:val="21"/>
                <w:highlight w:val="none"/>
                <w:lang w:val="en-US" w:eastAsia="zh-CN" w:bidi="ar-SA"/>
              </w:rPr>
            </w:pPr>
            <w:r>
              <w:rPr>
                <w:rFonts w:ascii="Times New Roman" w:hAnsi="Times New Roman"/>
                <w:color w:val="auto"/>
                <w:szCs w:val="21"/>
                <w:highlight w:val="none"/>
              </w:rPr>
              <w:t>pH值、CODcr、BOD5、SS、动植物油类、氨氮、总磷</w:t>
            </w:r>
          </w:p>
        </w:tc>
        <w:tc>
          <w:tcPr>
            <w:tcW w:w="2286" w:type="dxa"/>
            <w:tcBorders>
              <w:tl2br w:val="nil"/>
              <w:tr2bl w:val="nil"/>
            </w:tcBorders>
            <w:shd w:val="clear" w:color="auto" w:fill="auto"/>
            <w:tcMar>
              <w:top w:w="80" w:type="dxa"/>
              <w:left w:w="80" w:type="dxa"/>
              <w:bottom w:w="80" w:type="dxa"/>
              <w:right w:w="80" w:type="dxa"/>
            </w:tcMar>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连续2天，每天</w:t>
            </w:r>
            <w:r>
              <w:rPr>
                <w:rFonts w:hint="eastAsia" w:ascii="Times New Roman" w:hAnsi="Times New Roman" w:cs="Times New Roman"/>
                <w:color w:val="auto"/>
                <w:szCs w:val="21"/>
                <w:highlight w:val="none"/>
                <w:lang w:val="en-US" w:eastAsia="zh-CN"/>
              </w:rPr>
              <w:t>3</w:t>
            </w:r>
            <w:r>
              <w:rPr>
                <w:rFonts w:ascii="Times New Roman" w:hAnsi="Times New Roman" w:cs="Times New Roman"/>
                <w:color w:val="auto"/>
                <w:szCs w:val="21"/>
                <w:highlight w:val="none"/>
              </w:rPr>
              <w:t>次</w:t>
            </w:r>
          </w:p>
        </w:tc>
      </w:tr>
    </w:tbl>
    <w:p>
      <w:pPr>
        <w:pStyle w:val="4"/>
        <w:spacing w:before="0" w:after="0" w:line="360" w:lineRule="auto"/>
        <w:rPr>
          <w:rFonts w:ascii="Times New Roman" w:hAnsi="Times New Roman" w:cs="Times New Roman" w:eastAsiaTheme="minorEastAsia"/>
          <w:color w:val="auto"/>
          <w:sz w:val="24"/>
          <w:szCs w:val="24"/>
          <w:highlight w:val="none"/>
        </w:rPr>
      </w:pPr>
      <w:bookmarkStart w:id="53" w:name="_Toc32201"/>
      <w:r>
        <w:rPr>
          <w:rFonts w:ascii="Times New Roman" w:hAnsi="Times New Roman" w:cs="Times New Roman" w:eastAsiaTheme="minorEastAsia"/>
          <w:color w:val="auto"/>
          <w:sz w:val="24"/>
          <w:szCs w:val="24"/>
          <w:highlight w:val="none"/>
        </w:rPr>
        <w:t>7.</w:t>
      </w:r>
      <w:r>
        <w:rPr>
          <w:rFonts w:hint="eastAsia" w:ascii="Times New Roman" w:hAnsi="Times New Roman" w:cs="Times New Roman" w:eastAsiaTheme="minorEastAsia"/>
          <w:color w:val="auto"/>
          <w:sz w:val="24"/>
          <w:szCs w:val="24"/>
          <w:highlight w:val="none"/>
        </w:rPr>
        <w:t>3</w:t>
      </w:r>
      <w:r>
        <w:rPr>
          <w:rFonts w:ascii="Times New Roman" w:hAnsi="Times New Roman" w:cs="Times New Roman" w:eastAsiaTheme="minorEastAsia"/>
          <w:color w:val="auto"/>
          <w:sz w:val="24"/>
          <w:szCs w:val="24"/>
          <w:highlight w:val="none"/>
        </w:rPr>
        <w:t>厂界噪声监测</w:t>
      </w:r>
      <w:bookmarkEnd w:id="53"/>
    </w:p>
    <w:p>
      <w:pPr>
        <w:spacing w:line="360" w:lineRule="auto"/>
        <w:ind w:firstLine="480" w:firstLineChars="200"/>
        <w:rPr>
          <w:rFonts w:ascii="Times New Roman" w:hAnsi="Times New Roman" w:cs="Times New Roman"/>
          <w:b/>
          <w:bCs/>
          <w:color w:val="auto"/>
          <w:sz w:val="24"/>
          <w:szCs w:val="24"/>
          <w:highlight w:val="none"/>
        </w:rPr>
      </w:pPr>
      <w:r>
        <w:rPr>
          <w:rFonts w:ascii="Times New Roman" w:hAnsi="Times New Roman" w:cs="Times New Roman"/>
          <w:bCs/>
          <w:color w:val="auto"/>
          <w:sz w:val="24"/>
          <w:szCs w:val="24"/>
          <w:highlight w:val="none"/>
        </w:rPr>
        <w:t>项目噪声监测点位及频次，详细见表7-</w:t>
      </w:r>
      <w:r>
        <w:rPr>
          <w:rFonts w:hint="eastAsia" w:ascii="Times New Roman" w:hAnsi="Times New Roman" w:cs="Times New Roman"/>
          <w:bCs/>
          <w:color w:val="auto"/>
          <w:sz w:val="24"/>
          <w:szCs w:val="24"/>
          <w:highlight w:val="none"/>
        </w:rPr>
        <w:t>3</w:t>
      </w:r>
      <w:r>
        <w:rPr>
          <w:rFonts w:ascii="Times New Roman" w:hAnsi="Times New Roman" w:cs="Times New Roman"/>
          <w:bCs/>
          <w:color w:val="auto"/>
          <w:sz w:val="24"/>
          <w:szCs w:val="24"/>
          <w:highlight w:val="none"/>
        </w:rPr>
        <w:t>。</w:t>
      </w:r>
    </w:p>
    <w:p>
      <w:pPr>
        <w:spacing w:line="360" w:lineRule="auto"/>
        <w:jc w:val="center"/>
        <w:rPr>
          <w:rFonts w:ascii="Times New Roman" w:hAnsi="Times New Roman" w:cs="Times New Roman"/>
          <w:bCs/>
          <w:color w:val="auto"/>
          <w:sz w:val="24"/>
          <w:szCs w:val="24"/>
          <w:highlight w:val="none"/>
        </w:rPr>
      </w:pPr>
      <w:r>
        <w:rPr>
          <w:rFonts w:ascii="Times New Roman" w:hAnsi="Times New Roman" w:cs="Times New Roman"/>
          <w:b/>
          <w:bCs/>
          <w:color w:val="auto"/>
          <w:sz w:val="24"/>
          <w:szCs w:val="24"/>
          <w:highlight w:val="none"/>
        </w:rPr>
        <w:t>表7-</w:t>
      </w:r>
      <w:r>
        <w:rPr>
          <w:rFonts w:hint="eastAsia" w:ascii="Times New Roman" w:hAnsi="Times New Roman" w:cs="Times New Roman"/>
          <w:b/>
          <w:bCs/>
          <w:color w:val="auto"/>
          <w:sz w:val="24"/>
          <w:szCs w:val="24"/>
          <w:highlight w:val="none"/>
        </w:rPr>
        <w:t>3</w:t>
      </w:r>
      <w:r>
        <w:rPr>
          <w:rFonts w:ascii="Times New Roman" w:hAnsi="Times New Roman" w:cs="Times New Roman"/>
          <w:b/>
          <w:bCs/>
          <w:color w:val="auto"/>
          <w:sz w:val="24"/>
          <w:szCs w:val="24"/>
          <w:highlight w:val="none"/>
        </w:rPr>
        <w:t>噪声监测内容</w:t>
      </w:r>
    </w:p>
    <w:tbl>
      <w:tblPr>
        <w:tblStyle w:val="23"/>
        <w:tblW w:w="851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0"/>
        <w:gridCol w:w="3192"/>
        <w:gridCol w:w="2700"/>
        <w:gridCol w:w="17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80" w:type="dxa"/>
            <w:tcBorders>
              <w:tl2br w:val="nil"/>
              <w:tr2bl w:val="nil"/>
            </w:tcBorders>
            <w:vAlign w:val="center"/>
          </w:tcPr>
          <w:p>
            <w:pPr>
              <w:spacing w:line="360" w:lineRule="auto"/>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序号</w:t>
            </w:r>
          </w:p>
        </w:tc>
        <w:tc>
          <w:tcPr>
            <w:tcW w:w="3192" w:type="dxa"/>
            <w:tcBorders>
              <w:tl2br w:val="nil"/>
              <w:tr2bl w:val="nil"/>
            </w:tcBorders>
            <w:vAlign w:val="center"/>
          </w:tcPr>
          <w:p>
            <w:pPr>
              <w:spacing w:line="360" w:lineRule="auto"/>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监测点位</w:t>
            </w:r>
          </w:p>
        </w:tc>
        <w:tc>
          <w:tcPr>
            <w:tcW w:w="2700"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b/>
                <w:color w:val="auto"/>
                <w:szCs w:val="21"/>
                <w:highlight w:val="none"/>
              </w:rPr>
              <w:t>监测项目</w:t>
            </w:r>
          </w:p>
        </w:tc>
        <w:tc>
          <w:tcPr>
            <w:tcW w:w="1744"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b/>
                <w:color w:val="auto"/>
                <w:szCs w:val="21"/>
                <w:highlight w:val="none"/>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80" w:type="dxa"/>
            <w:tcBorders>
              <w:tl2br w:val="nil"/>
              <w:tr2bl w:val="nil"/>
            </w:tcBorders>
            <w:vAlign w:val="center"/>
          </w:tcPr>
          <w:p>
            <w:pPr>
              <w:spacing w:line="360" w:lineRule="auto"/>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1</w:t>
            </w:r>
          </w:p>
        </w:tc>
        <w:tc>
          <w:tcPr>
            <w:tcW w:w="3192" w:type="dxa"/>
            <w:tcBorders>
              <w:tl2br w:val="nil"/>
              <w:tr2bl w:val="nil"/>
            </w:tcBorders>
            <w:vAlign w:val="center"/>
          </w:tcPr>
          <w:p>
            <w:pPr>
              <w:spacing w:line="360" w:lineRule="auto"/>
              <w:jc w:val="center"/>
              <w:rPr>
                <w:rFonts w:ascii="Times New Roman" w:hAnsi="Times New Roman" w:cs="Times New Roman"/>
                <w:color w:val="auto"/>
                <w:szCs w:val="21"/>
                <w:highlight w:val="none"/>
                <w:lang w:val="en-US" w:eastAsia="zh-CN"/>
              </w:rPr>
            </w:pPr>
            <w:r>
              <w:rPr>
                <w:rFonts w:ascii="Times New Roman" w:hAnsi="Times New Roman" w:cs="Times New Roman"/>
                <w:color w:val="auto"/>
                <w:szCs w:val="21"/>
                <w:highlight w:val="none"/>
              </w:rPr>
              <w:t>厂界一</w:t>
            </w:r>
            <w:r>
              <w:rPr>
                <w:rFonts w:hint="eastAsia" w:ascii="Times New Roman" w:hAnsi="Times New Roman" w:cs="Times New Roman"/>
                <w:color w:val="auto"/>
                <w:szCs w:val="21"/>
                <w:highlight w:val="none"/>
              </w:rPr>
              <w:t>▲8</w:t>
            </w:r>
            <w:r>
              <w:rPr>
                <w:rFonts w:ascii="Times New Roman" w:hAnsi="Times New Roman" w:cs="Times New Roman"/>
                <w:color w:val="auto"/>
                <w:szCs w:val="21"/>
                <w:highlight w:val="none"/>
              </w:rPr>
              <w:t>#</w:t>
            </w:r>
          </w:p>
        </w:tc>
        <w:tc>
          <w:tcPr>
            <w:tcW w:w="2700" w:type="dxa"/>
            <w:vMerge w:val="restart"/>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olor w:val="auto"/>
                <w:szCs w:val="21"/>
                <w:highlight w:val="none"/>
              </w:rPr>
              <w:t>昼间、夜间厂界噪声</w:t>
            </w:r>
          </w:p>
        </w:tc>
        <w:tc>
          <w:tcPr>
            <w:tcW w:w="1744" w:type="dxa"/>
            <w:vMerge w:val="restart"/>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连续2天</w:t>
            </w:r>
          </w:p>
          <w:p>
            <w:pPr>
              <w:jc w:val="center"/>
              <w:rPr>
                <w:rFonts w:ascii="Times New Roman" w:hAnsi="Times New Roman" w:cs="Times New Roman"/>
                <w:color w:val="auto"/>
                <w:szCs w:val="21"/>
                <w:highlight w:val="none"/>
              </w:rPr>
            </w:pPr>
            <w:r>
              <w:rPr>
                <w:rFonts w:hint="eastAsia" w:ascii="Times New Roman" w:hAnsi="Times New Roman"/>
                <w:color w:val="auto"/>
                <w:szCs w:val="21"/>
                <w:highlight w:val="none"/>
                <w:lang w:eastAsia="zh-CN"/>
              </w:rPr>
              <w:t>昼夜各</w:t>
            </w:r>
            <w:r>
              <w:rPr>
                <w:rFonts w:ascii="Times New Roman" w:hAnsi="Times New Roman"/>
                <w:color w:val="auto"/>
                <w:szCs w:val="21"/>
                <w:highlight w:val="none"/>
              </w:rPr>
              <w:t>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80" w:type="dxa"/>
            <w:tcBorders>
              <w:tl2br w:val="nil"/>
              <w:tr2bl w:val="nil"/>
            </w:tcBorders>
            <w:vAlign w:val="center"/>
          </w:tcPr>
          <w:p>
            <w:pPr>
              <w:spacing w:line="360" w:lineRule="auto"/>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2</w:t>
            </w:r>
          </w:p>
        </w:tc>
        <w:tc>
          <w:tcPr>
            <w:tcW w:w="3192" w:type="dxa"/>
            <w:tcBorders>
              <w:tl2br w:val="nil"/>
              <w:tr2bl w:val="nil"/>
            </w:tcBorders>
            <w:vAlign w:val="center"/>
          </w:tcPr>
          <w:p>
            <w:pPr>
              <w:spacing w:line="360" w:lineRule="auto"/>
              <w:jc w:val="center"/>
              <w:rPr>
                <w:rFonts w:ascii="Times New Roman" w:hAnsi="Times New Roman" w:cs="Times New Roman"/>
                <w:color w:val="auto"/>
                <w:szCs w:val="21"/>
                <w:highlight w:val="none"/>
                <w:lang w:val="en-US" w:eastAsia="zh-CN"/>
              </w:rPr>
            </w:pPr>
            <w:r>
              <w:rPr>
                <w:rFonts w:ascii="Times New Roman" w:hAnsi="Times New Roman" w:cs="Times New Roman"/>
                <w:color w:val="auto"/>
                <w:szCs w:val="21"/>
                <w:highlight w:val="none"/>
              </w:rPr>
              <w:t>厂界</w:t>
            </w:r>
            <w:r>
              <w:rPr>
                <w:rFonts w:hint="eastAsia" w:ascii="Times New Roman" w:hAnsi="Times New Roman" w:cs="Times New Roman"/>
                <w:color w:val="auto"/>
                <w:szCs w:val="21"/>
                <w:highlight w:val="none"/>
              </w:rPr>
              <w:t>二▲</w:t>
            </w:r>
            <w:r>
              <w:rPr>
                <w:rFonts w:hint="eastAsia" w:ascii="Times New Roman" w:hAnsi="Times New Roman" w:cs="Times New Roman"/>
                <w:color w:val="auto"/>
                <w:szCs w:val="21"/>
                <w:highlight w:val="none"/>
                <w:lang w:val="en-US" w:eastAsia="zh-CN"/>
              </w:rPr>
              <w:t>9</w:t>
            </w:r>
            <w:r>
              <w:rPr>
                <w:rFonts w:ascii="Times New Roman" w:hAnsi="Times New Roman" w:cs="Times New Roman"/>
                <w:color w:val="auto"/>
                <w:szCs w:val="21"/>
                <w:highlight w:val="none"/>
              </w:rPr>
              <w:t>#</w:t>
            </w:r>
          </w:p>
        </w:tc>
        <w:tc>
          <w:tcPr>
            <w:tcW w:w="2700" w:type="dxa"/>
            <w:vMerge w:val="continue"/>
            <w:tcBorders>
              <w:tl2br w:val="nil"/>
              <w:tr2bl w:val="nil"/>
            </w:tcBorders>
            <w:vAlign w:val="center"/>
          </w:tcPr>
          <w:p>
            <w:pPr>
              <w:jc w:val="center"/>
              <w:rPr>
                <w:rFonts w:ascii="Times New Roman" w:hAnsi="Times New Roman" w:cs="Times New Roman"/>
                <w:color w:val="auto"/>
                <w:szCs w:val="21"/>
                <w:highlight w:val="none"/>
              </w:rPr>
            </w:pPr>
          </w:p>
        </w:tc>
        <w:tc>
          <w:tcPr>
            <w:tcW w:w="1744" w:type="dxa"/>
            <w:vMerge w:val="continue"/>
            <w:tcBorders>
              <w:tl2br w:val="nil"/>
              <w:tr2bl w:val="nil"/>
            </w:tcBorders>
            <w:vAlign w:val="center"/>
          </w:tcPr>
          <w:p>
            <w:pPr>
              <w:jc w:val="center"/>
              <w:rPr>
                <w:rFonts w:ascii="Times New Roman" w:hAnsi="Times New Roman"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80" w:type="dxa"/>
            <w:tcBorders>
              <w:tl2br w:val="nil"/>
              <w:tr2bl w:val="nil"/>
            </w:tcBorders>
            <w:vAlign w:val="center"/>
          </w:tcPr>
          <w:p>
            <w:pPr>
              <w:spacing w:line="360" w:lineRule="auto"/>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3</w:t>
            </w:r>
          </w:p>
        </w:tc>
        <w:tc>
          <w:tcPr>
            <w:tcW w:w="3192" w:type="dxa"/>
            <w:tcBorders>
              <w:tl2br w:val="nil"/>
              <w:tr2bl w:val="nil"/>
            </w:tcBorders>
            <w:vAlign w:val="center"/>
          </w:tcPr>
          <w:p>
            <w:pPr>
              <w:spacing w:line="360" w:lineRule="auto"/>
              <w:jc w:val="center"/>
              <w:rPr>
                <w:rFonts w:ascii="Times New Roman" w:hAnsi="Times New Roman" w:cs="Times New Roman"/>
                <w:color w:val="auto"/>
                <w:szCs w:val="21"/>
                <w:highlight w:val="none"/>
                <w:lang w:val="en-US" w:eastAsia="zh-CN"/>
              </w:rPr>
            </w:pPr>
            <w:r>
              <w:rPr>
                <w:rFonts w:ascii="Times New Roman" w:hAnsi="Times New Roman" w:cs="Times New Roman"/>
                <w:color w:val="auto"/>
                <w:szCs w:val="21"/>
                <w:highlight w:val="none"/>
              </w:rPr>
              <w:t>厂界</w:t>
            </w:r>
            <w:r>
              <w:rPr>
                <w:rFonts w:hint="eastAsia" w:ascii="Times New Roman" w:hAnsi="Times New Roman" w:cs="Times New Roman"/>
                <w:color w:val="auto"/>
                <w:szCs w:val="21"/>
                <w:highlight w:val="none"/>
              </w:rPr>
              <w:t>三▲</w:t>
            </w:r>
            <w:r>
              <w:rPr>
                <w:rFonts w:hint="eastAsia" w:ascii="Times New Roman" w:hAnsi="Times New Roman" w:cs="Times New Roman"/>
                <w:color w:val="auto"/>
                <w:szCs w:val="21"/>
                <w:highlight w:val="none"/>
                <w:lang w:val="en-US" w:eastAsia="zh-CN"/>
              </w:rPr>
              <w:t>10</w:t>
            </w:r>
            <w:r>
              <w:rPr>
                <w:rFonts w:ascii="Times New Roman" w:hAnsi="Times New Roman" w:cs="Times New Roman"/>
                <w:color w:val="auto"/>
                <w:szCs w:val="21"/>
                <w:highlight w:val="none"/>
              </w:rPr>
              <w:t>#</w:t>
            </w:r>
          </w:p>
        </w:tc>
        <w:tc>
          <w:tcPr>
            <w:tcW w:w="2700" w:type="dxa"/>
            <w:vMerge w:val="continue"/>
            <w:tcBorders>
              <w:tl2br w:val="nil"/>
              <w:tr2bl w:val="nil"/>
            </w:tcBorders>
            <w:vAlign w:val="center"/>
          </w:tcPr>
          <w:p>
            <w:pPr>
              <w:spacing w:line="360" w:lineRule="auto"/>
              <w:jc w:val="center"/>
              <w:rPr>
                <w:rFonts w:ascii="Times New Roman" w:hAnsi="Times New Roman" w:cs="Times New Roman"/>
                <w:color w:val="auto"/>
                <w:szCs w:val="21"/>
                <w:highlight w:val="none"/>
              </w:rPr>
            </w:pPr>
          </w:p>
        </w:tc>
        <w:tc>
          <w:tcPr>
            <w:tcW w:w="1744" w:type="dxa"/>
            <w:vMerge w:val="continue"/>
            <w:tcBorders>
              <w:tl2br w:val="nil"/>
              <w:tr2bl w:val="nil"/>
            </w:tcBorders>
            <w:vAlign w:val="center"/>
          </w:tcPr>
          <w:p>
            <w:pPr>
              <w:spacing w:line="360" w:lineRule="auto"/>
              <w:jc w:val="center"/>
              <w:rPr>
                <w:rFonts w:ascii="Times New Roman" w:hAnsi="Times New Roman"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80" w:type="dxa"/>
            <w:tcBorders>
              <w:tl2br w:val="nil"/>
              <w:tr2bl w:val="nil"/>
            </w:tcBorders>
            <w:vAlign w:val="center"/>
          </w:tcPr>
          <w:p>
            <w:pPr>
              <w:spacing w:line="360" w:lineRule="auto"/>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4</w:t>
            </w:r>
          </w:p>
        </w:tc>
        <w:tc>
          <w:tcPr>
            <w:tcW w:w="3192" w:type="dxa"/>
            <w:tcBorders>
              <w:tl2br w:val="nil"/>
              <w:tr2bl w:val="nil"/>
            </w:tcBorders>
            <w:vAlign w:val="center"/>
          </w:tcPr>
          <w:p>
            <w:pPr>
              <w:spacing w:line="360" w:lineRule="auto"/>
              <w:jc w:val="center"/>
              <w:rPr>
                <w:rFonts w:ascii="Times New Roman" w:hAnsi="Times New Roman" w:cs="Times New Roman"/>
                <w:color w:val="auto"/>
                <w:szCs w:val="21"/>
                <w:highlight w:val="none"/>
                <w:lang w:val="en-US" w:eastAsia="zh-CN"/>
              </w:rPr>
            </w:pPr>
            <w:r>
              <w:rPr>
                <w:rFonts w:ascii="Times New Roman" w:hAnsi="Times New Roman" w:cs="Times New Roman"/>
                <w:color w:val="auto"/>
                <w:szCs w:val="21"/>
                <w:highlight w:val="none"/>
              </w:rPr>
              <w:t>厂界</w:t>
            </w:r>
            <w:r>
              <w:rPr>
                <w:rFonts w:hint="eastAsia" w:ascii="Times New Roman" w:hAnsi="Times New Roman" w:cs="Times New Roman"/>
                <w:color w:val="auto"/>
                <w:szCs w:val="21"/>
                <w:highlight w:val="none"/>
              </w:rPr>
              <w:t>四▲</w:t>
            </w:r>
            <w:r>
              <w:rPr>
                <w:rFonts w:hint="eastAsia" w:ascii="Times New Roman" w:hAnsi="Times New Roman" w:cs="Times New Roman"/>
                <w:color w:val="auto"/>
                <w:szCs w:val="21"/>
                <w:highlight w:val="none"/>
                <w:lang w:val="en-US" w:eastAsia="zh-CN"/>
              </w:rPr>
              <w:t>11</w:t>
            </w:r>
            <w:r>
              <w:rPr>
                <w:rFonts w:ascii="Times New Roman" w:hAnsi="Times New Roman" w:cs="Times New Roman"/>
                <w:color w:val="auto"/>
                <w:szCs w:val="21"/>
                <w:highlight w:val="none"/>
              </w:rPr>
              <w:t>#</w:t>
            </w:r>
          </w:p>
        </w:tc>
        <w:tc>
          <w:tcPr>
            <w:tcW w:w="2700" w:type="dxa"/>
            <w:vMerge w:val="continue"/>
            <w:tcBorders>
              <w:tl2br w:val="nil"/>
              <w:tr2bl w:val="nil"/>
            </w:tcBorders>
            <w:vAlign w:val="center"/>
          </w:tcPr>
          <w:p>
            <w:pPr>
              <w:spacing w:line="360" w:lineRule="auto"/>
              <w:jc w:val="center"/>
              <w:rPr>
                <w:rFonts w:ascii="Times New Roman" w:hAnsi="Times New Roman" w:cs="Times New Roman"/>
                <w:color w:val="auto"/>
                <w:szCs w:val="21"/>
                <w:highlight w:val="none"/>
              </w:rPr>
            </w:pPr>
          </w:p>
        </w:tc>
        <w:tc>
          <w:tcPr>
            <w:tcW w:w="1744" w:type="dxa"/>
            <w:vMerge w:val="continue"/>
            <w:tcBorders>
              <w:tl2br w:val="nil"/>
              <w:tr2bl w:val="nil"/>
            </w:tcBorders>
            <w:vAlign w:val="center"/>
          </w:tcPr>
          <w:p>
            <w:pPr>
              <w:spacing w:line="360" w:lineRule="auto"/>
              <w:jc w:val="center"/>
              <w:rPr>
                <w:rFonts w:ascii="Times New Roman" w:hAnsi="Times New Roman" w:cs="Times New Roman"/>
                <w:color w:val="auto"/>
                <w:szCs w:val="21"/>
                <w:highlight w:val="none"/>
              </w:rPr>
            </w:pPr>
          </w:p>
        </w:tc>
      </w:tr>
    </w:tbl>
    <w:p>
      <w:pPr>
        <w:rPr>
          <w:rFonts w:ascii="Times New Roman" w:hAnsi="Times New Roman" w:cs="Times New Roman"/>
          <w:color w:val="auto"/>
          <w:highlight w:val="none"/>
        </w:rPr>
      </w:pPr>
      <w:r>
        <w:rPr>
          <w:rFonts w:ascii="Times New Roman" w:hAnsi="Times New Roman" w:cs="Times New Roman"/>
          <w:color w:val="auto"/>
          <w:highlight w:val="none"/>
        </w:rPr>
        <w:br w:type="page"/>
      </w:r>
    </w:p>
    <w:p>
      <w:pPr>
        <w:pStyle w:val="3"/>
        <w:spacing w:before="0" w:after="0" w:line="360" w:lineRule="auto"/>
        <w:jc w:val="left"/>
        <w:rPr>
          <w:rFonts w:ascii="Times New Roman" w:hAnsi="Times New Roman" w:cs="Times New Roman"/>
          <w:color w:val="auto"/>
          <w:sz w:val="28"/>
          <w:szCs w:val="28"/>
          <w:highlight w:val="none"/>
        </w:rPr>
      </w:pPr>
      <w:bookmarkStart w:id="54" w:name="_Toc28303"/>
      <w:r>
        <w:rPr>
          <w:rFonts w:ascii="Times New Roman" w:hAnsi="Times New Roman" w:cs="Times New Roman"/>
          <w:color w:val="auto"/>
          <w:sz w:val="28"/>
          <w:szCs w:val="28"/>
          <w:highlight w:val="none"/>
        </w:rPr>
        <w:t>8、质量保证及质量控制</w:t>
      </w:r>
      <w:bookmarkEnd w:id="54"/>
    </w:p>
    <w:p>
      <w:pPr>
        <w:pStyle w:val="4"/>
        <w:spacing w:before="0" w:after="0" w:line="360" w:lineRule="auto"/>
        <w:rPr>
          <w:rFonts w:ascii="Times New Roman" w:hAnsi="Times New Roman" w:cs="Times New Roman" w:eastAsiaTheme="minorEastAsia"/>
          <w:color w:val="auto"/>
          <w:sz w:val="24"/>
          <w:szCs w:val="24"/>
          <w:highlight w:val="none"/>
        </w:rPr>
      </w:pPr>
      <w:bookmarkStart w:id="55" w:name="_Toc3164"/>
      <w:r>
        <w:rPr>
          <w:rFonts w:ascii="Times New Roman" w:hAnsi="Times New Roman" w:cs="Times New Roman" w:eastAsiaTheme="minorEastAsia"/>
          <w:color w:val="auto"/>
          <w:sz w:val="24"/>
          <w:szCs w:val="24"/>
          <w:highlight w:val="none"/>
        </w:rPr>
        <w:t>8.1监测分析方法</w:t>
      </w:r>
      <w:bookmarkEnd w:id="55"/>
    </w:p>
    <w:p>
      <w:pPr>
        <w:spacing w:line="360" w:lineRule="auto"/>
        <w:ind w:firstLine="480" w:firstLineChars="200"/>
        <w:rPr>
          <w:rFonts w:ascii="Times New Roman" w:hAnsi="Times New Roman" w:cs="Times New Roman"/>
          <w:bCs/>
          <w:color w:val="auto"/>
          <w:sz w:val="24"/>
          <w:szCs w:val="24"/>
          <w:highlight w:val="none"/>
        </w:rPr>
      </w:pPr>
      <w:r>
        <w:rPr>
          <w:rFonts w:ascii="Times New Roman" w:hAnsi="Times New Roman" w:cs="Times New Roman"/>
          <w:bCs/>
          <w:color w:val="auto"/>
          <w:sz w:val="24"/>
          <w:szCs w:val="24"/>
          <w:highlight w:val="none"/>
        </w:rPr>
        <w:t>监测分析方法见表8-1：</w:t>
      </w:r>
    </w:p>
    <w:p>
      <w:pPr>
        <w:pStyle w:val="72"/>
        <w:spacing w:line="360" w:lineRule="auto"/>
        <w:ind w:firstLine="0" w:firstLineChars="0"/>
        <w:jc w:val="center"/>
        <w:rPr>
          <w:rFonts w:ascii="Times New Roman" w:hAnsi="Times New Roman" w:cs="Times New Roman"/>
          <w:bCs/>
          <w:color w:val="auto"/>
          <w:szCs w:val="24"/>
          <w:highlight w:val="none"/>
        </w:rPr>
      </w:pPr>
      <w:r>
        <w:rPr>
          <w:rFonts w:ascii="Times New Roman" w:hAnsi="Times New Roman" w:cs="Times New Roman"/>
          <w:b/>
          <w:color w:val="auto"/>
          <w:szCs w:val="24"/>
          <w:highlight w:val="none"/>
        </w:rPr>
        <w:t>表8</w:t>
      </w:r>
      <w:r>
        <w:rPr>
          <w:rFonts w:ascii="Times New Roman" w:hAnsi="Times New Roman" w:cs="Times New Roman"/>
          <w:bCs/>
          <w:color w:val="auto"/>
          <w:szCs w:val="24"/>
          <w:highlight w:val="none"/>
        </w:rPr>
        <w:t>-</w:t>
      </w:r>
      <w:r>
        <w:rPr>
          <w:rFonts w:ascii="Times New Roman" w:hAnsi="Times New Roman" w:cs="Times New Roman"/>
          <w:b/>
          <w:color w:val="auto"/>
          <w:szCs w:val="24"/>
          <w:highlight w:val="none"/>
        </w:rPr>
        <w:t>1  监测分析方法一览表</w:t>
      </w:r>
    </w:p>
    <w:tbl>
      <w:tblPr>
        <w:tblStyle w:val="23"/>
        <w:tblW w:w="852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1428"/>
        <w:gridCol w:w="4752"/>
        <w:gridCol w:w="12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tcBorders>
              <w:tl2br w:val="nil"/>
              <w:tr2bl w:val="nil"/>
            </w:tcBorders>
            <w:tcMar>
              <w:top w:w="0" w:type="dxa"/>
              <w:left w:w="28" w:type="dxa"/>
              <w:bottom w:w="0" w:type="dxa"/>
              <w:right w:w="28" w:type="dxa"/>
            </w:tcMar>
            <w:vAlign w:val="center"/>
          </w:tcPr>
          <w:p>
            <w:pPr>
              <w:pStyle w:val="72"/>
              <w:spacing w:line="240" w:lineRule="auto"/>
              <w:ind w:firstLine="0" w:firstLineChars="0"/>
              <w:jc w:val="center"/>
              <w:rPr>
                <w:rFonts w:ascii="Times New Roman" w:hAnsi="Times New Roman" w:cs="Times New Roman"/>
                <w:b/>
                <w:color w:val="auto"/>
                <w:sz w:val="21"/>
                <w:szCs w:val="21"/>
                <w:highlight w:val="none"/>
              </w:rPr>
            </w:pPr>
            <w:r>
              <w:rPr>
                <w:rFonts w:ascii="Times New Roman" w:hAnsi="Times New Roman" w:cs="Times New Roman"/>
                <w:b/>
                <w:color w:val="auto"/>
                <w:sz w:val="21"/>
                <w:szCs w:val="21"/>
                <w:highlight w:val="none"/>
              </w:rPr>
              <w:t>监测类别</w:t>
            </w:r>
          </w:p>
        </w:tc>
        <w:tc>
          <w:tcPr>
            <w:tcW w:w="1428" w:type="dxa"/>
            <w:tcBorders>
              <w:tl2br w:val="nil"/>
              <w:tr2bl w:val="nil"/>
            </w:tcBorders>
            <w:tcMar>
              <w:top w:w="0" w:type="dxa"/>
              <w:left w:w="51" w:type="dxa"/>
              <w:bottom w:w="0" w:type="dxa"/>
              <w:right w:w="51" w:type="dxa"/>
            </w:tcMar>
            <w:vAlign w:val="center"/>
          </w:tcPr>
          <w:p>
            <w:pPr>
              <w:pStyle w:val="72"/>
              <w:spacing w:line="240" w:lineRule="auto"/>
              <w:ind w:firstLine="0" w:firstLineChars="0"/>
              <w:jc w:val="center"/>
              <w:rPr>
                <w:rFonts w:ascii="Times New Roman" w:hAnsi="Times New Roman" w:cs="Times New Roman"/>
                <w:b/>
                <w:color w:val="auto"/>
                <w:sz w:val="21"/>
                <w:szCs w:val="21"/>
                <w:highlight w:val="none"/>
              </w:rPr>
            </w:pPr>
            <w:r>
              <w:rPr>
                <w:rFonts w:ascii="Times New Roman" w:hAnsi="Times New Roman" w:cs="Times New Roman"/>
                <w:b/>
                <w:color w:val="auto"/>
                <w:sz w:val="21"/>
                <w:szCs w:val="21"/>
                <w:highlight w:val="none"/>
              </w:rPr>
              <w:t>监测项目</w:t>
            </w:r>
          </w:p>
        </w:tc>
        <w:tc>
          <w:tcPr>
            <w:tcW w:w="4752" w:type="dxa"/>
            <w:tcBorders>
              <w:tl2br w:val="nil"/>
              <w:tr2bl w:val="nil"/>
            </w:tcBorders>
            <w:vAlign w:val="center"/>
          </w:tcPr>
          <w:p>
            <w:pPr>
              <w:pStyle w:val="72"/>
              <w:spacing w:line="240" w:lineRule="auto"/>
              <w:ind w:firstLine="0" w:firstLineChars="0"/>
              <w:jc w:val="center"/>
              <w:rPr>
                <w:rFonts w:ascii="Times New Roman" w:hAnsi="Times New Roman" w:cs="Times New Roman"/>
                <w:b/>
                <w:color w:val="auto"/>
                <w:sz w:val="21"/>
                <w:szCs w:val="21"/>
                <w:highlight w:val="none"/>
              </w:rPr>
            </w:pPr>
            <w:r>
              <w:rPr>
                <w:rFonts w:ascii="Times New Roman" w:hAnsi="Times New Roman" w:cs="Times New Roman"/>
                <w:b/>
                <w:color w:val="auto"/>
                <w:sz w:val="21"/>
                <w:szCs w:val="21"/>
                <w:highlight w:val="none"/>
              </w:rPr>
              <w:t>监测依据的标准（方法）名称及编号（年号）</w:t>
            </w:r>
          </w:p>
        </w:tc>
        <w:tc>
          <w:tcPr>
            <w:tcW w:w="1245" w:type="dxa"/>
            <w:tcBorders>
              <w:tl2br w:val="nil"/>
              <w:tr2bl w:val="nil"/>
            </w:tcBorders>
            <w:vAlign w:val="center"/>
          </w:tcPr>
          <w:p>
            <w:pPr>
              <w:pStyle w:val="72"/>
              <w:spacing w:line="240" w:lineRule="auto"/>
              <w:ind w:firstLine="0" w:firstLineChars="0"/>
              <w:jc w:val="center"/>
              <w:rPr>
                <w:rFonts w:ascii="Times New Roman" w:hAnsi="Times New Roman" w:cs="Times New Roman"/>
                <w:b/>
                <w:color w:val="auto"/>
                <w:sz w:val="21"/>
                <w:szCs w:val="21"/>
                <w:highlight w:val="none"/>
              </w:rPr>
            </w:pPr>
            <w:r>
              <w:rPr>
                <w:rFonts w:ascii="Times New Roman" w:hAnsi="Times New Roman" w:cs="Times New Roman"/>
                <w:b/>
                <w:color w:val="auto"/>
                <w:sz w:val="21"/>
                <w:szCs w:val="21"/>
                <w:highlight w:val="none"/>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restart"/>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废气</w:t>
            </w:r>
          </w:p>
        </w:tc>
        <w:tc>
          <w:tcPr>
            <w:tcW w:w="1428"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cs="Times New Roman" w:eastAsiaTheme="minorEastAsia"/>
                <w:color w:val="auto"/>
                <w:kern w:val="2"/>
                <w:sz w:val="21"/>
                <w:szCs w:val="22"/>
                <w:highlight w:val="none"/>
                <w:lang w:val="en-US" w:eastAsia="zh-CN" w:bidi="ar-SA"/>
              </w:rPr>
            </w:pPr>
            <w:r>
              <w:rPr>
                <w:rFonts w:hint="eastAsia"/>
                <w:color w:val="auto"/>
                <w:highlight w:val="none"/>
              </w:rPr>
              <w:t>总悬浮颗粒物</w:t>
            </w:r>
          </w:p>
        </w:tc>
        <w:tc>
          <w:tcPr>
            <w:tcW w:w="4752" w:type="dxa"/>
            <w:tcBorders>
              <w:tl2br w:val="nil"/>
              <w:tr2bl w:val="nil"/>
            </w:tcBorders>
            <w:shd w:val="clear" w:color="auto" w:fill="auto"/>
            <w:tcMar>
              <w:top w:w="28" w:type="dxa"/>
              <w:left w:w="28" w:type="dxa"/>
              <w:bottom w:w="28" w:type="dxa"/>
              <w:right w:w="28" w:type="dxa"/>
            </w:tcMar>
            <w:vAlign w:val="center"/>
          </w:tcPr>
          <w:p>
            <w:pPr>
              <w:pStyle w:val="48"/>
              <w:jc w:val="center"/>
              <w:rPr>
                <w:rFonts w:ascii="Times New Roman" w:hAnsi="Times New Roman" w:cs="Times New Roman" w:eastAsiaTheme="minorEastAsia"/>
                <w:color w:val="auto"/>
                <w:kern w:val="2"/>
                <w:sz w:val="21"/>
                <w:szCs w:val="22"/>
                <w:highlight w:val="none"/>
                <w:lang w:val="en-US" w:eastAsia="zh-CN" w:bidi="ar-SA"/>
              </w:rPr>
            </w:pPr>
            <w:r>
              <w:rPr>
                <w:rFonts w:hint="eastAsia"/>
                <w:color w:val="auto"/>
                <w:highlight w:val="none"/>
              </w:rPr>
              <w:t>环境空气总悬浮颗粒物的测定重量法</w:t>
            </w:r>
            <w:r>
              <w:rPr>
                <w:color w:val="auto"/>
                <w:highlight w:val="none"/>
              </w:rPr>
              <w:t>GB/T15432-1995</w:t>
            </w:r>
            <w:r>
              <w:rPr>
                <w:rFonts w:hint="eastAsia"/>
                <w:color w:val="auto"/>
                <w:highlight w:val="none"/>
              </w:rPr>
              <w:t>及修改单</w:t>
            </w:r>
          </w:p>
        </w:tc>
        <w:tc>
          <w:tcPr>
            <w:tcW w:w="1245"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cs="Times New Roman" w:eastAsiaTheme="minorEastAsia"/>
                <w:color w:val="auto"/>
                <w:kern w:val="2"/>
                <w:sz w:val="21"/>
                <w:szCs w:val="22"/>
                <w:highlight w:val="none"/>
                <w:lang w:val="en-US" w:eastAsia="zh-CN" w:bidi="ar-SA"/>
              </w:rPr>
            </w:pPr>
            <w:r>
              <w:rPr>
                <w:rFonts w:hint="eastAsia" w:ascii="Times New Roman" w:hAnsi="Times New Roman" w:cs="Times New Roman"/>
                <w:color w:val="auto"/>
                <w:highlight w:val="none"/>
              </w:rPr>
              <w:t>0.001</w:t>
            </w:r>
            <w:r>
              <w:rPr>
                <w:rFonts w:ascii="Times New Roman" w:hAnsi="Times New Roman" w:cs="Times New Roman"/>
                <w:bCs/>
                <w:color w:val="auto"/>
                <w:szCs w:val="21"/>
                <w:highlight w:val="none"/>
              </w:rPr>
              <w:t>mg/m³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continue"/>
            <w:tcBorders>
              <w:tl2br w:val="nil"/>
              <w:tr2bl w:val="nil"/>
            </w:tcBorders>
            <w:vAlign w:val="center"/>
          </w:tcPr>
          <w:p>
            <w:pPr>
              <w:jc w:val="center"/>
              <w:rPr>
                <w:rFonts w:ascii="Times New Roman" w:hAnsi="Times New Roman" w:cs="Times New Roman"/>
                <w:color w:val="auto"/>
                <w:szCs w:val="21"/>
                <w:highlight w:val="none"/>
              </w:rPr>
            </w:pPr>
          </w:p>
        </w:tc>
        <w:tc>
          <w:tcPr>
            <w:tcW w:w="1428" w:type="dxa"/>
            <w:tcBorders>
              <w:tl2br w:val="nil"/>
              <w:tr2bl w:val="nil"/>
            </w:tcBorders>
            <w:shd w:val="clear" w:color="auto" w:fill="auto"/>
            <w:tcMar>
              <w:top w:w="28" w:type="dxa"/>
              <w:left w:w="28" w:type="dxa"/>
              <w:bottom w:w="28" w:type="dxa"/>
              <w:right w:w="28" w:type="dxa"/>
            </w:tcMar>
            <w:vAlign w:val="center"/>
          </w:tcPr>
          <w:p>
            <w:pPr>
              <w:widowControl/>
              <w:jc w:val="center"/>
              <w:rPr>
                <w:rFonts w:asciiTheme="minorHAnsi" w:hAnsiTheme="minorHAnsi" w:eastAsiaTheme="minorEastAsia" w:cstheme="minorBidi"/>
                <w:color w:val="auto"/>
                <w:kern w:val="0"/>
                <w:sz w:val="21"/>
                <w:szCs w:val="21"/>
                <w:highlight w:val="none"/>
                <w:lang w:val="en-US" w:eastAsia="zh-CN" w:bidi="ar-SA"/>
              </w:rPr>
            </w:pPr>
            <w:r>
              <w:rPr>
                <w:color w:val="auto"/>
                <w:kern w:val="0"/>
                <w:szCs w:val="21"/>
                <w:highlight w:val="none"/>
              </w:rPr>
              <w:t>非甲烷总烃</w:t>
            </w:r>
          </w:p>
        </w:tc>
        <w:tc>
          <w:tcPr>
            <w:tcW w:w="4752"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eastAsia="宋体" w:cs="Times New Roman"/>
                <w:color w:val="auto"/>
                <w:kern w:val="2"/>
                <w:sz w:val="21"/>
                <w:szCs w:val="20"/>
                <w:highlight w:val="none"/>
                <w:lang w:val="en-US" w:eastAsia="zh-CN" w:bidi="ar-SA"/>
              </w:rPr>
            </w:pPr>
            <w:r>
              <w:rPr>
                <w:rFonts w:hint="eastAsia" w:ascii="Times New Roman" w:hAnsi="Times New Roman" w:eastAsia="宋体" w:cs="Times New Roman"/>
                <w:color w:val="auto"/>
                <w:kern w:val="2"/>
                <w:sz w:val="21"/>
                <w:szCs w:val="20"/>
                <w:highlight w:val="none"/>
                <w:lang w:val="en-US" w:eastAsia="zh-CN" w:bidi="ar-SA"/>
              </w:rPr>
              <w:t>环境空气 总烃、甲烷和非甲烷总烃的测定 直接进样-气相色谱法HJ 604-2017</w:t>
            </w:r>
          </w:p>
        </w:tc>
        <w:tc>
          <w:tcPr>
            <w:tcW w:w="1245" w:type="dxa"/>
            <w:tcBorders>
              <w:tl2br w:val="nil"/>
              <w:tr2bl w:val="nil"/>
            </w:tcBorders>
            <w:shd w:val="clear" w:color="auto" w:fill="auto"/>
            <w:tcMar>
              <w:top w:w="28" w:type="dxa"/>
              <w:left w:w="28" w:type="dxa"/>
              <w:bottom w:w="28" w:type="dxa"/>
              <w:right w:w="28" w:type="dxa"/>
            </w:tcMar>
            <w:vAlign w:val="center"/>
          </w:tcPr>
          <w:p>
            <w:pPr>
              <w:widowControl/>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color w:val="auto"/>
                <w:highlight w:val="none"/>
                <w:lang w:val="en-US" w:eastAsia="zh-CN"/>
              </w:rPr>
              <w:t xml:space="preserve">0.07 </w:t>
            </w:r>
            <w:r>
              <w:rPr>
                <w:rFonts w:ascii="Times New Roman" w:hAnsi="Times New Roman" w:cs="Times New Roman"/>
                <w:bCs/>
                <w:color w:val="auto"/>
                <w:szCs w:val="21"/>
                <w:highlight w:val="none"/>
              </w:rPr>
              <w:t>mg/m³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continue"/>
            <w:tcBorders>
              <w:tl2br w:val="nil"/>
              <w:tr2bl w:val="nil"/>
            </w:tcBorders>
            <w:vAlign w:val="center"/>
          </w:tcPr>
          <w:p>
            <w:pPr>
              <w:jc w:val="center"/>
              <w:rPr>
                <w:rFonts w:ascii="Times New Roman" w:hAnsi="Times New Roman" w:cs="Times New Roman"/>
                <w:color w:val="auto"/>
                <w:szCs w:val="21"/>
                <w:highlight w:val="none"/>
              </w:rPr>
            </w:pPr>
          </w:p>
        </w:tc>
        <w:tc>
          <w:tcPr>
            <w:tcW w:w="1428" w:type="dxa"/>
            <w:tcBorders>
              <w:tl2br w:val="nil"/>
              <w:tr2bl w:val="nil"/>
            </w:tcBorders>
            <w:shd w:val="clear" w:color="auto" w:fill="auto"/>
            <w:tcMar>
              <w:top w:w="28" w:type="dxa"/>
              <w:left w:w="28" w:type="dxa"/>
              <w:bottom w:w="28" w:type="dxa"/>
              <w:right w:w="28" w:type="dxa"/>
            </w:tcMar>
            <w:vAlign w:val="center"/>
          </w:tcPr>
          <w:p>
            <w:pPr>
              <w:widowControl/>
              <w:jc w:val="center"/>
              <w:rPr>
                <w:color w:val="auto"/>
                <w:kern w:val="0"/>
                <w:szCs w:val="21"/>
                <w:highlight w:val="none"/>
              </w:rPr>
            </w:pPr>
            <w:r>
              <w:rPr>
                <w:color w:val="auto"/>
                <w:kern w:val="0"/>
                <w:szCs w:val="21"/>
                <w:highlight w:val="none"/>
              </w:rPr>
              <w:t>非甲烷总烃</w:t>
            </w:r>
          </w:p>
        </w:tc>
        <w:tc>
          <w:tcPr>
            <w:tcW w:w="4752" w:type="dxa"/>
            <w:tcBorders>
              <w:tl2br w:val="nil"/>
              <w:tr2bl w:val="nil"/>
            </w:tcBorders>
            <w:shd w:val="clear" w:color="auto" w:fill="auto"/>
            <w:tcMar>
              <w:top w:w="28" w:type="dxa"/>
              <w:left w:w="28" w:type="dxa"/>
              <w:bottom w:w="28" w:type="dxa"/>
              <w:right w:w="28" w:type="dxa"/>
            </w:tcMar>
            <w:vAlign w:val="center"/>
          </w:tcPr>
          <w:p>
            <w:pPr>
              <w:widowControl/>
              <w:jc w:val="center"/>
              <w:rPr>
                <w:rFonts w:hint="eastAsia" w:ascii="Times New Roman" w:hAnsi="Times New Roman" w:eastAsia="宋体" w:cs="Times New Roman"/>
                <w:color w:val="auto"/>
                <w:kern w:val="2"/>
                <w:sz w:val="21"/>
                <w:szCs w:val="20"/>
                <w:highlight w:val="none"/>
                <w:lang w:val="en-US" w:eastAsia="zh-CN" w:bidi="ar-SA"/>
              </w:rPr>
            </w:pPr>
            <w:r>
              <w:rPr>
                <w:rFonts w:hint="eastAsia"/>
                <w:bCs/>
                <w:color w:val="auto"/>
                <w:szCs w:val="21"/>
                <w:highlight w:val="none"/>
              </w:rPr>
              <w:t>固定污染源废气 总烃、甲烷和非甲烷总烃的测定 气相色谱法 HJ 38-2017</w:t>
            </w:r>
          </w:p>
        </w:tc>
        <w:tc>
          <w:tcPr>
            <w:tcW w:w="1245" w:type="dxa"/>
            <w:tcBorders>
              <w:tl2br w:val="nil"/>
              <w:tr2bl w:val="nil"/>
            </w:tcBorders>
            <w:shd w:val="clear" w:color="auto" w:fill="auto"/>
            <w:tcMar>
              <w:top w:w="28" w:type="dxa"/>
              <w:left w:w="28" w:type="dxa"/>
              <w:bottom w:w="28" w:type="dxa"/>
              <w:right w:w="28" w:type="dxa"/>
            </w:tcMar>
            <w:vAlign w:val="center"/>
          </w:tcPr>
          <w:p>
            <w:pPr>
              <w:widowControl/>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 xml:space="preserve">0.07 </w:t>
            </w:r>
            <w:r>
              <w:rPr>
                <w:rFonts w:ascii="Times New Roman" w:hAnsi="Times New Roman" w:cs="Times New Roman"/>
                <w:bCs/>
                <w:color w:val="auto"/>
                <w:szCs w:val="21"/>
                <w:highlight w:val="none"/>
              </w:rPr>
              <w:t>mg/m³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continue"/>
            <w:tcBorders>
              <w:tl2br w:val="nil"/>
              <w:tr2bl w:val="nil"/>
            </w:tcBorders>
            <w:vAlign w:val="center"/>
          </w:tcPr>
          <w:p>
            <w:pPr>
              <w:jc w:val="center"/>
              <w:rPr>
                <w:rFonts w:ascii="Times New Roman" w:hAnsi="Times New Roman" w:cs="Times New Roman"/>
                <w:color w:val="auto"/>
                <w:szCs w:val="21"/>
                <w:highlight w:val="none"/>
              </w:rPr>
            </w:pPr>
          </w:p>
        </w:tc>
        <w:tc>
          <w:tcPr>
            <w:tcW w:w="1428" w:type="dxa"/>
            <w:tcBorders>
              <w:tl2br w:val="nil"/>
              <w:tr2bl w:val="nil"/>
            </w:tcBorders>
            <w:shd w:val="clear" w:color="auto" w:fill="auto"/>
            <w:tcMar>
              <w:top w:w="28" w:type="dxa"/>
              <w:left w:w="28" w:type="dxa"/>
              <w:bottom w:w="28" w:type="dxa"/>
              <w:right w:w="28" w:type="dxa"/>
            </w:tcMar>
            <w:vAlign w:val="center"/>
          </w:tcPr>
          <w:p>
            <w:pPr>
              <w:spacing w:line="252" w:lineRule="exact"/>
              <w:ind w:left="20" w:leftChars="0"/>
              <w:jc w:val="center"/>
              <w:rPr>
                <w:rFonts w:asciiTheme="minorHAnsi" w:hAnsiTheme="minorHAnsi" w:eastAsiaTheme="minorEastAsia" w:cstheme="minorBidi"/>
                <w:color w:val="auto"/>
                <w:kern w:val="2"/>
                <w:sz w:val="21"/>
                <w:szCs w:val="21"/>
                <w:highlight w:val="none"/>
                <w:lang w:val="en-US" w:eastAsia="zh-CN" w:bidi="ar-SA"/>
              </w:rPr>
            </w:pPr>
            <w:r>
              <w:rPr>
                <w:color w:val="auto"/>
                <w:szCs w:val="21"/>
                <w:highlight w:val="none"/>
              </w:rPr>
              <w:t>氟化物</w:t>
            </w:r>
          </w:p>
        </w:tc>
        <w:tc>
          <w:tcPr>
            <w:tcW w:w="4752" w:type="dxa"/>
            <w:tcBorders>
              <w:tl2br w:val="nil"/>
              <w:tr2bl w:val="nil"/>
            </w:tcBorders>
            <w:shd w:val="clear" w:color="auto" w:fill="auto"/>
            <w:tcMar>
              <w:top w:w="28" w:type="dxa"/>
              <w:left w:w="28" w:type="dxa"/>
              <w:bottom w:w="28" w:type="dxa"/>
              <w:right w:w="28" w:type="dxa"/>
            </w:tcMar>
            <w:vAlign w:val="center"/>
          </w:tcPr>
          <w:p>
            <w:pPr>
              <w:spacing w:line="252" w:lineRule="exact"/>
              <w:ind w:left="20"/>
              <w:jc w:val="center"/>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kern w:val="2"/>
                <w:sz w:val="21"/>
                <w:szCs w:val="20"/>
                <w:highlight w:val="none"/>
                <w:lang w:val="en-US" w:eastAsia="zh-CN" w:bidi="ar-SA"/>
              </w:rPr>
              <w:t>环境空气 氟化物的测定 滤膜采样/氟离子选择电极法HJ 955-2018</w:t>
            </w:r>
          </w:p>
        </w:tc>
        <w:tc>
          <w:tcPr>
            <w:tcW w:w="1245" w:type="dxa"/>
            <w:tcBorders>
              <w:tl2br w:val="nil"/>
              <w:tr2bl w:val="nil"/>
            </w:tcBorders>
            <w:shd w:val="clear" w:color="auto" w:fill="auto"/>
            <w:tcMar>
              <w:top w:w="28" w:type="dxa"/>
              <w:left w:w="28" w:type="dxa"/>
              <w:bottom w:w="28" w:type="dxa"/>
              <w:right w:w="28" w:type="dxa"/>
            </w:tcMar>
            <w:vAlign w:val="center"/>
          </w:tcPr>
          <w:p>
            <w:pPr>
              <w:widowControl/>
              <w:jc w:val="center"/>
              <w:rPr>
                <w:rFonts w:hint="eastAsia" w:ascii="Times New Roman" w:hAnsi="Times New Roman" w:eastAsia="宋体" w:cs="Times New Roman"/>
                <w:color w:val="auto"/>
                <w:highlight w:val="none"/>
                <w:lang w:val="en-US" w:eastAsia="zh-CN"/>
              </w:rPr>
            </w:pPr>
            <w:r>
              <w:rPr>
                <w:rFonts w:hint="eastAsia" w:ascii="Times New Roman" w:hAnsi="Times New Roman" w:cs="Times New Roman"/>
                <w:bCs/>
                <w:color w:val="auto"/>
                <w:szCs w:val="21"/>
                <w:highlight w:val="none"/>
              </w:rPr>
              <w:t>0.5</w:t>
            </w:r>
            <w:r>
              <w:rPr>
                <w:rFonts w:hint="eastAsia" w:ascii="Times New Roman" w:hAnsi="Times New Roman" w:cs="Times New Roman"/>
                <w:bCs/>
                <w:color w:val="auto"/>
                <w:szCs w:val="21"/>
                <w:highlight w:val="none"/>
                <w:lang w:val="en-US" w:eastAsia="zh-CN"/>
              </w:rPr>
              <w:t xml:space="preserve"> </w:t>
            </w:r>
            <w:r>
              <w:rPr>
                <w:rFonts w:ascii="Times New Roman" w:hAnsi="Times New Roman" w:cs="Times New Roman"/>
                <w:bCs/>
                <w:color w:val="auto"/>
                <w:szCs w:val="21"/>
                <w:highlight w:val="none"/>
              </w:rPr>
              <w:t>mg/m³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restart"/>
            <w:tcBorders>
              <w:tl2br w:val="nil"/>
              <w:tr2bl w:val="nil"/>
            </w:tcBorders>
            <w:vAlign w:val="center"/>
          </w:tcPr>
          <w:p>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废水</w:t>
            </w:r>
          </w:p>
        </w:tc>
        <w:tc>
          <w:tcPr>
            <w:tcW w:w="1428" w:type="dxa"/>
            <w:tcBorders>
              <w:tl2br w:val="nil"/>
              <w:tr2bl w:val="nil"/>
            </w:tcBorders>
            <w:shd w:val="clear" w:color="auto" w:fill="auto"/>
            <w:tcMar>
              <w:top w:w="28" w:type="dxa"/>
              <w:left w:w="28" w:type="dxa"/>
              <w:bottom w:w="28" w:type="dxa"/>
              <w:right w:w="28" w:type="dxa"/>
            </w:tcMar>
            <w:vAlign w:val="center"/>
          </w:tcPr>
          <w:p>
            <w:pPr>
              <w:widowControl/>
              <w:jc w:val="center"/>
              <w:rPr>
                <w:color w:val="auto"/>
                <w:highlight w:val="none"/>
              </w:rPr>
            </w:pPr>
            <w:r>
              <w:rPr>
                <w:rFonts w:ascii="Times New Roman" w:hAnsi="Times New Roman"/>
                <w:color w:val="auto"/>
                <w:kern w:val="0"/>
                <w:szCs w:val="21"/>
                <w:highlight w:val="none"/>
              </w:rPr>
              <w:t>pH值</w:t>
            </w:r>
          </w:p>
        </w:tc>
        <w:tc>
          <w:tcPr>
            <w:tcW w:w="4752"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cs="Times New Roman"/>
                <w:color w:val="auto"/>
                <w:szCs w:val="21"/>
                <w:highlight w:val="none"/>
              </w:rPr>
            </w:pPr>
            <w:r>
              <w:rPr>
                <w:rFonts w:ascii="Times New Roman" w:hAnsi="Times New Roman" w:cs="Times New Roman"/>
                <w:bCs/>
                <w:color w:val="auto"/>
                <w:szCs w:val="21"/>
                <w:highlight w:val="none"/>
              </w:rPr>
              <w:t>水质 pH值的测定 玻璃电极法</w:t>
            </w:r>
            <w:r>
              <w:rPr>
                <w:color w:val="auto"/>
                <w:highlight w:val="none"/>
              </w:rPr>
              <w:fldChar w:fldCharType="begin"/>
            </w:r>
            <w:r>
              <w:rPr>
                <w:color w:val="auto"/>
                <w:highlight w:val="none"/>
              </w:rPr>
              <w:instrText xml:space="preserve"> HYPERLINK "http://www.spsp.gov.cn/page/CN/1986/GBT%206920-1986.shtml" \t "_blank" </w:instrText>
            </w:r>
            <w:r>
              <w:rPr>
                <w:color w:val="auto"/>
                <w:highlight w:val="none"/>
              </w:rPr>
              <w:fldChar w:fldCharType="separate"/>
            </w:r>
            <w:r>
              <w:rPr>
                <w:rFonts w:ascii="Times New Roman" w:hAnsi="Times New Roman" w:cs="Times New Roman"/>
                <w:bCs/>
                <w:color w:val="auto"/>
                <w:szCs w:val="21"/>
                <w:highlight w:val="none"/>
              </w:rPr>
              <w:t>GB/T 6920-1986</w:t>
            </w:r>
            <w:r>
              <w:rPr>
                <w:rFonts w:ascii="Times New Roman" w:hAnsi="Times New Roman" w:cs="Times New Roman"/>
                <w:bCs/>
                <w:color w:val="auto"/>
                <w:szCs w:val="21"/>
                <w:highlight w:val="none"/>
              </w:rPr>
              <w:fldChar w:fldCharType="end"/>
            </w:r>
          </w:p>
        </w:tc>
        <w:tc>
          <w:tcPr>
            <w:tcW w:w="1245"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cs="Times New Roman"/>
                <w:bCs/>
                <w:color w:val="auto"/>
                <w:szCs w:val="21"/>
                <w:highlight w:val="none"/>
              </w:rPr>
            </w:pPr>
            <w:r>
              <w:rPr>
                <w:rFonts w:ascii="Times New Roman" w:hAnsi="Times New Roman" w:cs="Times New Roman"/>
                <w:bCs/>
                <w:color w:val="auto"/>
                <w:szCs w:val="21"/>
                <w:highlight w:val="none"/>
              </w:rPr>
              <w:t>0.01</w:t>
            </w:r>
          </w:p>
          <w:p>
            <w:pPr>
              <w:widowControl/>
              <w:jc w:val="center"/>
              <w:rPr>
                <w:rFonts w:ascii="Times New Roman" w:hAnsi="Times New Roman" w:cs="Times New Roman"/>
                <w:bCs/>
                <w:color w:val="auto"/>
                <w:szCs w:val="21"/>
                <w:highlight w:val="none"/>
              </w:rPr>
            </w:pPr>
            <w:r>
              <w:rPr>
                <w:rFonts w:ascii="Times New Roman" w:hAnsi="Times New Roman" w:cs="Times New Roman"/>
                <w:bCs/>
                <w:color w:val="auto"/>
                <w:szCs w:val="21"/>
                <w:highlight w:val="none"/>
              </w:rPr>
              <w:t>（无量纲）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continue"/>
            <w:tcBorders>
              <w:tl2br w:val="nil"/>
              <w:tr2bl w:val="nil"/>
            </w:tcBorders>
            <w:vAlign w:val="center"/>
          </w:tcPr>
          <w:p>
            <w:pPr>
              <w:jc w:val="center"/>
              <w:rPr>
                <w:rFonts w:ascii="Times New Roman" w:hAnsi="Times New Roman" w:cs="Times New Roman"/>
                <w:color w:val="auto"/>
                <w:szCs w:val="21"/>
                <w:highlight w:val="none"/>
              </w:rPr>
            </w:pPr>
          </w:p>
        </w:tc>
        <w:tc>
          <w:tcPr>
            <w:tcW w:w="1428"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color w:val="auto"/>
                <w:kern w:val="0"/>
                <w:szCs w:val="21"/>
                <w:highlight w:val="none"/>
              </w:rPr>
            </w:pPr>
            <w:r>
              <w:rPr>
                <w:rFonts w:ascii="Times New Roman" w:hAnsi="Times New Roman"/>
                <w:color w:val="auto"/>
                <w:kern w:val="0"/>
                <w:szCs w:val="21"/>
                <w:highlight w:val="none"/>
              </w:rPr>
              <w:t>五日生化需氧量（BOD</w:t>
            </w:r>
            <w:r>
              <w:rPr>
                <w:rFonts w:ascii="Times New Roman" w:hAnsi="Times New Roman"/>
                <w:color w:val="auto"/>
                <w:kern w:val="0"/>
                <w:szCs w:val="21"/>
                <w:highlight w:val="none"/>
                <w:vertAlign w:val="subscript"/>
              </w:rPr>
              <w:t>5</w:t>
            </w:r>
            <w:r>
              <w:rPr>
                <w:rFonts w:ascii="Times New Roman" w:hAnsi="Times New Roman"/>
                <w:color w:val="auto"/>
                <w:kern w:val="0"/>
                <w:szCs w:val="21"/>
                <w:highlight w:val="none"/>
              </w:rPr>
              <w:t>）</w:t>
            </w:r>
          </w:p>
        </w:tc>
        <w:tc>
          <w:tcPr>
            <w:tcW w:w="4752"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cs="Times New Roman"/>
                <w:bCs/>
                <w:color w:val="auto"/>
                <w:szCs w:val="21"/>
                <w:highlight w:val="none"/>
              </w:rPr>
            </w:pPr>
            <w:r>
              <w:rPr>
                <w:rFonts w:ascii="Times New Roman" w:hAnsi="Times New Roman" w:cs="Times New Roman"/>
                <w:bCs/>
                <w:color w:val="auto"/>
                <w:szCs w:val="21"/>
                <w:highlight w:val="none"/>
              </w:rPr>
              <w:t>水质 五日生化需氧量（BOD</w:t>
            </w:r>
            <w:r>
              <w:rPr>
                <w:rFonts w:ascii="Times New Roman" w:hAnsi="Times New Roman" w:cs="Times New Roman"/>
                <w:bCs/>
                <w:color w:val="auto"/>
                <w:szCs w:val="21"/>
                <w:highlight w:val="none"/>
                <w:vertAlign w:val="subscript"/>
              </w:rPr>
              <w:t>5</w:t>
            </w:r>
            <w:r>
              <w:rPr>
                <w:rFonts w:ascii="Times New Roman" w:hAnsi="Times New Roman" w:cs="Times New Roman"/>
                <w:bCs/>
                <w:color w:val="auto"/>
                <w:szCs w:val="21"/>
                <w:highlight w:val="none"/>
              </w:rPr>
              <w:t>）的测定 稀释与接种法</w:t>
            </w:r>
            <w:r>
              <w:rPr>
                <w:color w:val="auto"/>
                <w:highlight w:val="none"/>
              </w:rPr>
              <w:fldChar w:fldCharType="begin"/>
            </w:r>
            <w:r>
              <w:rPr>
                <w:color w:val="auto"/>
                <w:highlight w:val="none"/>
              </w:rPr>
              <w:instrText xml:space="preserve"> HYPERLINK "http://www.spsp.gov.cn/page/QT/2009/HJ%20505-2009.shtml" \t "_blank" </w:instrText>
            </w:r>
            <w:r>
              <w:rPr>
                <w:color w:val="auto"/>
                <w:highlight w:val="none"/>
              </w:rPr>
              <w:fldChar w:fldCharType="separate"/>
            </w:r>
            <w:r>
              <w:rPr>
                <w:rFonts w:ascii="Times New Roman" w:hAnsi="Times New Roman" w:cs="Times New Roman"/>
                <w:bCs/>
                <w:color w:val="auto"/>
                <w:szCs w:val="21"/>
                <w:highlight w:val="none"/>
              </w:rPr>
              <w:t>HJ 505-2009</w:t>
            </w:r>
            <w:r>
              <w:rPr>
                <w:rFonts w:ascii="Times New Roman" w:hAnsi="Times New Roman" w:cs="Times New Roman"/>
                <w:bCs/>
                <w:color w:val="auto"/>
                <w:szCs w:val="21"/>
                <w:highlight w:val="none"/>
              </w:rPr>
              <w:fldChar w:fldCharType="end"/>
            </w:r>
          </w:p>
        </w:tc>
        <w:tc>
          <w:tcPr>
            <w:tcW w:w="1245"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cs="Times New Roman"/>
                <w:bCs/>
                <w:color w:val="auto"/>
                <w:szCs w:val="21"/>
                <w:highlight w:val="none"/>
              </w:rPr>
            </w:pPr>
            <w:r>
              <w:rPr>
                <w:rFonts w:ascii="Times New Roman" w:hAnsi="Times New Roman" w:cs="Times New Roman"/>
                <w:bCs/>
                <w:color w:val="auto"/>
                <w:szCs w:val="21"/>
                <w:highlight w:val="none"/>
              </w:rPr>
              <w:t>0.5mg/L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continue"/>
            <w:tcBorders>
              <w:tl2br w:val="nil"/>
              <w:tr2bl w:val="nil"/>
            </w:tcBorders>
            <w:vAlign w:val="center"/>
          </w:tcPr>
          <w:p>
            <w:pPr>
              <w:jc w:val="center"/>
              <w:rPr>
                <w:rFonts w:ascii="Times New Roman" w:hAnsi="Times New Roman" w:cs="Times New Roman"/>
                <w:color w:val="auto"/>
                <w:szCs w:val="21"/>
                <w:highlight w:val="none"/>
              </w:rPr>
            </w:pPr>
          </w:p>
        </w:tc>
        <w:tc>
          <w:tcPr>
            <w:tcW w:w="1428" w:type="dxa"/>
            <w:tcBorders>
              <w:tl2br w:val="nil"/>
              <w:tr2bl w:val="nil"/>
            </w:tcBorders>
            <w:shd w:val="clear" w:color="auto" w:fill="auto"/>
            <w:tcMar>
              <w:top w:w="28" w:type="dxa"/>
              <w:left w:w="28" w:type="dxa"/>
              <w:bottom w:w="28" w:type="dxa"/>
              <w:right w:w="28" w:type="dxa"/>
            </w:tcMar>
            <w:vAlign w:val="center"/>
          </w:tcPr>
          <w:p>
            <w:pPr>
              <w:widowControl/>
              <w:jc w:val="center"/>
              <w:rPr>
                <w:color w:val="auto"/>
                <w:highlight w:val="none"/>
              </w:rPr>
            </w:pPr>
            <w:r>
              <w:rPr>
                <w:rFonts w:ascii="Times New Roman" w:hAnsi="Times New Roman"/>
                <w:color w:val="auto"/>
                <w:kern w:val="0"/>
                <w:szCs w:val="21"/>
                <w:highlight w:val="none"/>
              </w:rPr>
              <w:t>悬浮物</w:t>
            </w:r>
          </w:p>
        </w:tc>
        <w:tc>
          <w:tcPr>
            <w:tcW w:w="4752"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cs="Times New Roman"/>
                <w:color w:val="auto"/>
                <w:szCs w:val="21"/>
                <w:highlight w:val="none"/>
              </w:rPr>
            </w:pPr>
            <w:r>
              <w:rPr>
                <w:rFonts w:ascii="Times New Roman" w:hAnsi="Times New Roman" w:cs="Times New Roman"/>
                <w:bCs/>
                <w:color w:val="auto"/>
                <w:szCs w:val="21"/>
                <w:highlight w:val="none"/>
              </w:rPr>
              <w:t xml:space="preserve">水质 悬浮物的测定 重量法 </w:t>
            </w:r>
            <w:r>
              <w:rPr>
                <w:color w:val="auto"/>
                <w:highlight w:val="none"/>
              </w:rPr>
              <w:fldChar w:fldCharType="begin"/>
            </w:r>
            <w:r>
              <w:rPr>
                <w:color w:val="auto"/>
                <w:highlight w:val="none"/>
              </w:rPr>
              <w:instrText xml:space="preserve"> HYPERLINK "http://www.spsp.gov.cn/page/CN/1989/GBT%2011901-1989.shtml" \t "_blank" </w:instrText>
            </w:r>
            <w:r>
              <w:rPr>
                <w:color w:val="auto"/>
                <w:highlight w:val="none"/>
              </w:rPr>
              <w:fldChar w:fldCharType="separate"/>
            </w:r>
            <w:r>
              <w:rPr>
                <w:rFonts w:ascii="Times New Roman" w:hAnsi="Times New Roman" w:cs="Times New Roman"/>
                <w:bCs/>
                <w:color w:val="auto"/>
                <w:szCs w:val="21"/>
                <w:highlight w:val="none"/>
              </w:rPr>
              <w:t>GB/T 11901-1989</w:t>
            </w:r>
            <w:r>
              <w:rPr>
                <w:rFonts w:ascii="Times New Roman" w:hAnsi="Times New Roman" w:cs="Times New Roman"/>
                <w:bCs/>
                <w:color w:val="auto"/>
                <w:szCs w:val="21"/>
                <w:highlight w:val="none"/>
              </w:rPr>
              <w:fldChar w:fldCharType="end"/>
            </w:r>
          </w:p>
        </w:tc>
        <w:tc>
          <w:tcPr>
            <w:tcW w:w="1245"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cs="Times New Roman"/>
                <w:bCs/>
                <w:color w:val="auto"/>
                <w:szCs w:val="21"/>
                <w:highlight w:val="none"/>
              </w:rPr>
            </w:pPr>
            <w:r>
              <w:rPr>
                <w:rFonts w:ascii="Times New Roman" w:hAnsi="Times New Roman" w:cs="Times New Roman"/>
                <w:bCs/>
                <w:color w:val="auto"/>
                <w:szCs w:val="21"/>
                <w:highlight w:val="none"/>
              </w:rPr>
              <w:t>4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continue"/>
            <w:tcBorders>
              <w:tl2br w:val="nil"/>
              <w:tr2bl w:val="nil"/>
            </w:tcBorders>
            <w:vAlign w:val="center"/>
          </w:tcPr>
          <w:p>
            <w:pPr>
              <w:jc w:val="center"/>
              <w:rPr>
                <w:rFonts w:ascii="Times New Roman" w:hAnsi="Times New Roman" w:cs="Times New Roman"/>
                <w:color w:val="auto"/>
                <w:szCs w:val="21"/>
                <w:highlight w:val="none"/>
              </w:rPr>
            </w:pPr>
          </w:p>
        </w:tc>
        <w:tc>
          <w:tcPr>
            <w:tcW w:w="1428" w:type="dxa"/>
            <w:tcBorders>
              <w:tl2br w:val="nil"/>
              <w:tr2bl w:val="nil"/>
            </w:tcBorders>
            <w:shd w:val="clear" w:color="auto" w:fill="auto"/>
            <w:tcMar>
              <w:top w:w="28" w:type="dxa"/>
              <w:left w:w="28" w:type="dxa"/>
              <w:bottom w:w="28" w:type="dxa"/>
              <w:right w:w="28" w:type="dxa"/>
            </w:tcMar>
            <w:vAlign w:val="center"/>
          </w:tcPr>
          <w:p>
            <w:pPr>
              <w:pStyle w:val="48"/>
              <w:jc w:val="center"/>
              <w:rPr>
                <w:color w:val="auto"/>
                <w:highlight w:val="none"/>
              </w:rPr>
            </w:pPr>
            <w:r>
              <w:rPr>
                <w:color w:val="auto"/>
                <w:szCs w:val="21"/>
                <w:highlight w:val="none"/>
              </w:rPr>
              <w:t>化学需氧量</w:t>
            </w:r>
          </w:p>
        </w:tc>
        <w:tc>
          <w:tcPr>
            <w:tcW w:w="4752" w:type="dxa"/>
            <w:tcBorders>
              <w:tl2br w:val="nil"/>
              <w:tr2bl w:val="nil"/>
            </w:tcBorders>
            <w:shd w:val="clear" w:color="auto" w:fill="auto"/>
            <w:tcMar>
              <w:top w:w="28" w:type="dxa"/>
              <w:left w:w="28" w:type="dxa"/>
              <w:bottom w:w="28" w:type="dxa"/>
              <w:right w:w="28" w:type="dxa"/>
            </w:tcMar>
            <w:vAlign w:val="center"/>
          </w:tcPr>
          <w:p>
            <w:pPr>
              <w:pStyle w:val="48"/>
              <w:jc w:val="center"/>
              <w:rPr>
                <w:color w:val="auto"/>
                <w:szCs w:val="21"/>
                <w:highlight w:val="none"/>
              </w:rPr>
            </w:pPr>
            <w:r>
              <w:rPr>
                <w:color w:val="auto"/>
                <w:szCs w:val="21"/>
                <w:highlight w:val="none"/>
              </w:rPr>
              <w:t>水质 化学需氧量的测定 重铬酸盐法HJ828-2017</w:t>
            </w:r>
          </w:p>
        </w:tc>
        <w:tc>
          <w:tcPr>
            <w:tcW w:w="1245" w:type="dxa"/>
            <w:tcBorders>
              <w:tl2br w:val="nil"/>
              <w:tr2bl w:val="nil"/>
            </w:tcBorders>
            <w:shd w:val="clear" w:color="auto" w:fill="auto"/>
            <w:tcMar>
              <w:top w:w="28" w:type="dxa"/>
              <w:left w:w="28" w:type="dxa"/>
              <w:bottom w:w="28" w:type="dxa"/>
              <w:right w:w="28" w:type="dxa"/>
            </w:tcMar>
            <w:vAlign w:val="center"/>
          </w:tcPr>
          <w:p>
            <w:pPr>
              <w:pStyle w:val="48"/>
              <w:jc w:val="center"/>
              <w:rPr>
                <w:bCs/>
                <w:color w:val="auto"/>
                <w:szCs w:val="21"/>
                <w:highlight w:val="none"/>
              </w:rPr>
            </w:pPr>
            <w:r>
              <w:rPr>
                <w:color w:val="auto"/>
                <w:highlight w:val="none"/>
              </w:rPr>
              <w:t>4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continue"/>
            <w:tcBorders>
              <w:tl2br w:val="nil"/>
              <w:tr2bl w:val="nil"/>
            </w:tcBorders>
            <w:vAlign w:val="center"/>
          </w:tcPr>
          <w:p>
            <w:pPr>
              <w:jc w:val="center"/>
              <w:rPr>
                <w:rFonts w:ascii="Times New Roman" w:hAnsi="Times New Roman" w:cs="Times New Roman"/>
                <w:color w:val="auto"/>
                <w:szCs w:val="21"/>
                <w:highlight w:val="none"/>
              </w:rPr>
            </w:pPr>
          </w:p>
        </w:tc>
        <w:tc>
          <w:tcPr>
            <w:tcW w:w="1428" w:type="dxa"/>
            <w:tcBorders>
              <w:tl2br w:val="nil"/>
              <w:tr2bl w:val="nil"/>
            </w:tcBorders>
            <w:shd w:val="clear" w:color="auto" w:fill="auto"/>
            <w:tcMar>
              <w:top w:w="28" w:type="dxa"/>
              <w:left w:w="28" w:type="dxa"/>
              <w:bottom w:w="28" w:type="dxa"/>
              <w:right w:w="28" w:type="dxa"/>
            </w:tcMar>
            <w:vAlign w:val="center"/>
          </w:tcPr>
          <w:p>
            <w:pPr>
              <w:pStyle w:val="48"/>
              <w:jc w:val="center"/>
              <w:rPr>
                <w:color w:val="auto"/>
                <w:highlight w:val="none"/>
              </w:rPr>
            </w:pPr>
            <w:r>
              <w:rPr>
                <w:color w:val="auto"/>
                <w:szCs w:val="21"/>
                <w:highlight w:val="none"/>
              </w:rPr>
              <w:t>氨氮</w:t>
            </w:r>
          </w:p>
        </w:tc>
        <w:tc>
          <w:tcPr>
            <w:tcW w:w="4752" w:type="dxa"/>
            <w:tcBorders>
              <w:tl2br w:val="nil"/>
              <w:tr2bl w:val="nil"/>
            </w:tcBorders>
            <w:shd w:val="clear" w:color="auto" w:fill="auto"/>
            <w:tcMar>
              <w:top w:w="28" w:type="dxa"/>
              <w:left w:w="28" w:type="dxa"/>
              <w:bottom w:w="28" w:type="dxa"/>
              <w:right w:w="28" w:type="dxa"/>
            </w:tcMar>
            <w:vAlign w:val="center"/>
          </w:tcPr>
          <w:p>
            <w:pPr>
              <w:pStyle w:val="48"/>
              <w:jc w:val="center"/>
              <w:rPr>
                <w:color w:val="auto"/>
                <w:szCs w:val="21"/>
                <w:highlight w:val="none"/>
              </w:rPr>
            </w:pPr>
            <w:r>
              <w:rPr>
                <w:color w:val="auto"/>
                <w:szCs w:val="21"/>
                <w:highlight w:val="none"/>
              </w:rPr>
              <w:t>水质 氨氮的测定 纳氏试剂分光光度法HJ535-2009</w:t>
            </w:r>
          </w:p>
        </w:tc>
        <w:tc>
          <w:tcPr>
            <w:tcW w:w="1245" w:type="dxa"/>
            <w:tcBorders>
              <w:tl2br w:val="nil"/>
              <w:tr2bl w:val="nil"/>
            </w:tcBorders>
            <w:shd w:val="clear" w:color="auto" w:fill="auto"/>
            <w:tcMar>
              <w:top w:w="28" w:type="dxa"/>
              <w:left w:w="28" w:type="dxa"/>
              <w:bottom w:w="28" w:type="dxa"/>
              <w:right w:w="28" w:type="dxa"/>
            </w:tcMar>
            <w:vAlign w:val="center"/>
          </w:tcPr>
          <w:p>
            <w:pPr>
              <w:pStyle w:val="48"/>
              <w:jc w:val="center"/>
              <w:rPr>
                <w:bCs/>
                <w:color w:val="auto"/>
                <w:szCs w:val="21"/>
                <w:highlight w:val="none"/>
              </w:rPr>
            </w:pPr>
            <w:r>
              <w:rPr>
                <w:color w:val="auto"/>
                <w:highlight w:val="none"/>
              </w:rPr>
              <w:t>0.025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continue"/>
            <w:tcBorders>
              <w:tl2br w:val="nil"/>
              <w:tr2bl w:val="nil"/>
            </w:tcBorders>
            <w:vAlign w:val="center"/>
          </w:tcPr>
          <w:p>
            <w:pPr>
              <w:jc w:val="center"/>
              <w:rPr>
                <w:rFonts w:ascii="Times New Roman" w:hAnsi="Times New Roman" w:cs="Times New Roman"/>
                <w:color w:val="auto"/>
                <w:szCs w:val="21"/>
                <w:highlight w:val="none"/>
              </w:rPr>
            </w:pPr>
          </w:p>
        </w:tc>
        <w:tc>
          <w:tcPr>
            <w:tcW w:w="1428" w:type="dxa"/>
            <w:tcBorders>
              <w:tl2br w:val="nil"/>
              <w:tr2bl w:val="nil"/>
            </w:tcBorders>
            <w:shd w:val="clear" w:color="auto" w:fill="auto"/>
            <w:tcMar>
              <w:top w:w="28" w:type="dxa"/>
              <w:left w:w="28" w:type="dxa"/>
              <w:bottom w:w="28" w:type="dxa"/>
              <w:right w:w="28" w:type="dxa"/>
            </w:tcMar>
            <w:vAlign w:val="center"/>
          </w:tcPr>
          <w:p>
            <w:pPr>
              <w:widowControl/>
              <w:jc w:val="center"/>
              <w:rPr>
                <w:rFonts w:hint="eastAsia" w:asciiTheme="minorHAnsi" w:hAnsiTheme="minorHAnsi" w:eastAsiaTheme="minorEastAsia" w:cstheme="minorBidi"/>
                <w:color w:val="auto"/>
                <w:kern w:val="0"/>
                <w:sz w:val="21"/>
                <w:szCs w:val="21"/>
                <w:highlight w:val="none"/>
                <w:lang w:val="en-US" w:eastAsia="zh-CN" w:bidi="ar-SA"/>
              </w:rPr>
            </w:pPr>
            <w:r>
              <w:rPr>
                <w:color w:val="auto"/>
                <w:kern w:val="0"/>
                <w:szCs w:val="21"/>
                <w:highlight w:val="none"/>
              </w:rPr>
              <w:t>总磷</w:t>
            </w:r>
          </w:p>
        </w:tc>
        <w:tc>
          <w:tcPr>
            <w:tcW w:w="4752"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t>水质 总磷的测定 钼酸铵分光光度法</w:t>
            </w:r>
            <w:r>
              <w:rPr>
                <w:rFonts w:ascii="Times New Roman" w:hAnsi="Times New Roman" w:eastAsia="宋体" w:cs="Times New Roman"/>
                <w:color w:val="auto"/>
                <w:kern w:val="2"/>
                <w:sz w:val="21"/>
                <w:szCs w:val="21"/>
                <w:highlight w:val="none"/>
                <w:lang w:val="en-US" w:eastAsia="zh-CN" w:bidi="ar-SA"/>
              </w:rPr>
              <w:fldChar w:fldCharType="begin"/>
            </w:r>
            <w:r>
              <w:rPr>
                <w:rFonts w:ascii="Times New Roman" w:hAnsi="Times New Roman" w:eastAsia="宋体" w:cs="Times New Roman"/>
                <w:color w:val="auto"/>
                <w:kern w:val="2"/>
                <w:sz w:val="21"/>
                <w:szCs w:val="21"/>
                <w:highlight w:val="none"/>
                <w:lang w:val="en-US" w:eastAsia="zh-CN" w:bidi="ar-SA"/>
              </w:rPr>
              <w:instrText xml:space="preserve"> HYPERLINK "http://www.spsp.gov.cn/page/CN/1989/GBT%2011893-1989.shtml" \t "_blank" </w:instrText>
            </w:r>
            <w:r>
              <w:rPr>
                <w:rFonts w:ascii="Times New Roman" w:hAnsi="Times New Roman" w:eastAsia="宋体" w:cs="Times New Roman"/>
                <w:color w:val="auto"/>
                <w:kern w:val="2"/>
                <w:sz w:val="21"/>
                <w:szCs w:val="21"/>
                <w:highlight w:val="none"/>
                <w:lang w:val="en-US" w:eastAsia="zh-CN" w:bidi="ar-SA"/>
              </w:rPr>
              <w:fldChar w:fldCharType="separate"/>
            </w:r>
            <w:r>
              <w:rPr>
                <w:rFonts w:ascii="Times New Roman" w:hAnsi="Times New Roman" w:eastAsia="宋体" w:cs="Times New Roman"/>
                <w:color w:val="auto"/>
                <w:kern w:val="2"/>
                <w:sz w:val="21"/>
                <w:szCs w:val="21"/>
                <w:highlight w:val="none"/>
                <w:lang w:val="en-US" w:eastAsia="zh-CN" w:bidi="ar-SA"/>
              </w:rPr>
              <w:t>GB/T 11893-1989</w:t>
            </w:r>
            <w:r>
              <w:rPr>
                <w:rFonts w:ascii="Times New Roman" w:hAnsi="Times New Roman" w:eastAsia="宋体" w:cs="Times New Roman"/>
                <w:color w:val="auto"/>
                <w:kern w:val="2"/>
                <w:sz w:val="21"/>
                <w:szCs w:val="21"/>
                <w:highlight w:val="none"/>
                <w:lang w:val="en-US" w:eastAsia="zh-CN" w:bidi="ar-SA"/>
              </w:rPr>
              <w:fldChar w:fldCharType="end"/>
            </w:r>
          </w:p>
        </w:tc>
        <w:tc>
          <w:tcPr>
            <w:tcW w:w="1245" w:type="dxa"/>
            <w:tcBorders>
              <w:tl2br w:val="nil"/>
              <w:tr2bl w:val="nil"/>
            </w:tcBorders>
            <w:shd w:val="clear" w:color="auto" w:fill="auto"/>
            <w:tcMar>
              <w:top w:w="28" w:type="dxa"/>
              <w:left w:w="28" w:type="dxa"/>
              <w:bottom w:w="28" w:type="dxa"/>
              <w:right w:w="28" w:type="dxa"/>
            </w:tcMar>
            <w:vAlign w:val="center"/>
          </w:tcPr>
          <w:p>
            <w:pPr>
              <w:pStyle w:val="48"/>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0.01</w:t>
            </w:r>
            <w:r>
              <w:rPr>
                <w:bCs/>
                <w:color w:val="auto"/>
                <w:szCs w:val="21"/>
                <w:highlight w:val="none"/>
              </w:rPr>
              <w:t xml:space="preserve">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continue"/>
            <w:tcBorders>
              <w:tl2br w:val="nil"/>
              <w:tr2bl w:val="nil"/>
            </w:tcBorders>
            <w:vAlign w:val="center"/>
          </w:tcPr>
          <w:p>
            <w:pPr>
              <w:jc w:val="center"/>
              <w:rPr>
                <w:rFonts w:ascii="Times New Roman" w:hAnsi="Times New Roman" w:cs="Times New Roman"/>
                <w:color w:val="auto"/>
                <w:szCs w:val="21"/>
                <w:highlight w:val="none"/>
              </w:rPr>
            </w:pPr>
          </w:p>
        </w:tc>
        <w:tc>
          <w:tcPr>
            <w:tcW w:w="1428"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动植物油类</w:t>
            </w:r>
          </w:p>
        </w:tc>
        <w:tc>
          <w:tcPr>
            <w:tcW w:w="4752"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eastAsia="宋体" w:cs="Times New Roman"/>
                <w:bCs/>
                <w:color w:val="auto"/>
                <w:szCs w:val="21"/>
                <w:highlight w:val="none"/>
              </w:rPr>
            </w:pPr>
            <w:r>
              <w:rPr>
                <w:rFonts w:ascii="Times New Roman" w:hAnsi="Times New Roman" w:cs="Times New Roman"/>
                <w:color w:val="auto"/>
                <w:szCs w:val="21"/>
                <w:highlight w:val="none"/>
              </w:rPr>
              <w:t>水质 石油类和动植物油类的测定 红外分光光度法HJ637-201</w:t>
            </w:r>
          </w:p>
        </w:tc>
        <w:tc>
          <w:tcPr>
            <w:tcW w:w="1245" w:type="dxa"/>
            <w:tcBorders>
              <w:tl2br w:val="nil"/>
              <w:tr2bl w:val="nil"/>
            </w:tcBorders>
            <w:shd w:val="clear" w:color="auto" w:fill="auto"/>
            <w:tcMar>
              <w:top w:w="28" w:type="dxa"/>
              <w:left w:w="28" w:type="dxa"/>
              <w:bottom w:w="28" w:type="dxa"/>
              <w:right w:w="28" w:type="dxa"/>
            </w:tcMar>
            <w:vAlign w:val="center"/>
          </w:tcPr>
          <w:p>
            <w:pPr>
              <w:pStyle w:val="48"/>
              <w:jc w:val="center"/>
              <w:rPr>
                <w:bCs/>
                <w:color w:val="auto"/>
                <w:szCs w:val="21"/>
                <w:highlight w:val="none"/>
              </w:rPr>
            </w:pPr>
            <w:r>
              <w:rPr>
                <w:bCs/>
                <w:color w:val="auto"/>
                <w:szCs w:val="21"/>
                <w:highlight w:val="none"/>
              </w:rPr>
              <w:t>0.06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continue"/>
            <w:tcBorders>
              <w:tl2br w:val="nil"/>
              <w:tr2bl w:val="nil"/>
            </w:tcBorders>
            <w:vAlign w:val="center"/>
          </w:tcPr>
          <w:p>
            <w:pPr>
              <w:jc w:val="center"/>
              <w:rPr>
                <w:rFonts w:ascii="Times New Roman" w:hAnsi="Times New Roman" w:cs="Times New Roman"/>
                <w:color w:val="auto"/>
                <w:szCs w:val="21"/>
                <w:highlight w:val="none"/>
              </w:rPr>
            </w:pPr>
          </w:p>
        </w:tc>
        <w:tc>
          <w:tcPr>
            <w:tcW w:w="1428" w:type="dxa"/>
            <w:tcBorders>
              <w:tl2br w:val="nil"/>
              <w:tr2bl w:val="nil"/>
            </w:tcBorders>
            <w:shd w:val="clear" w:color="auto" w:fill="auto"/>
            <w:tcMar>
              <w:top w:w="28" w:type="dxa"/>
              <w:left w:w="28" w:type="dxa"/>
              <w:bottom w:w="28" w:type="dxa"/>
              <w:right w:w="28" w:type="dxa"/>
            </w:tcMar>
            <w:vAlign w:val="center"/>
          </w:tcPr>
          <w:p>
            <w:pPr>
              <w:widowControl/>
              <w:jc w:val="center"/>
              <w:rPr>
                <w:rFonts w:hint="eastAsia" w:ascii="Times New Roman" w:hAnsi="Times New Roman" w:eastAsia="宋体" w:cs="Times New Roman"/>
                <w:bCs/>
                <w:color w:val="auto"/>
                <w:szCs w:val="21"/>
                <w:highlight w:val="none"/>
                <w:lang w:eastAsia="zh-CN"/>
              </w:rPr>
            </w:pPr>
            <w:r>
              <w:rPr>
                <w:rFonts w:hint="eastAsia" w:ascii="Times New Roman" w:hAnsi="Times New Roman" w:eastAsia="宋体" w:cs="Times New Roman"/>
                <w:bCs/>
                <w:color w:val="auto"/>
                <w:szCs w:val="21"/>
                <w:highlight w:val="none"/>
                <w:lang w:eastAsia="zh-CN"/>
              </w:rPr>
              <w:t>石油类</w:t>
            </w:r>
          </w:p>
        </w:tc>
        <w:tc>
          <w:tcPr>
            <w:tcW w:w="4752"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eastAsia="宋体" w:cs="Times New Roman"/>
                <w:bCs/>
                <w:color w:val="auto"/>
                <w:kern w:val="2"/>
                <w:sz w:val="21"/>
                <w:szCs w:val="21"/>
                <w:highlight w:val="none"/>
                <w:lang w:val="en-US" w:eastAsia="zh-CN" w:bidi="ar-SA"/>
              </w:rPr>
            </w:pPr>
            <w:r>
              <w:rPr>
                <w:rFonts w:ascii="Times New Roman" w:hAnsi="Times New Roman" w:cs="Times New Roman"/>
                <w:color w:val="auto"/>
                <w:szCs w:val="21"/>
                <w:highlight w:val="none"/>
              </w:rPr>
              <w:t>水质 石油类和动植物油类的测定 红外分光光度法HJ637-201</w:t>
            </w:r>
          </w:p>
        </w:tc>
        <w:tc>
          <w:tcPr>
            <w:tcW w:w="1245" w:type="dxa"/>
            <w:tcBorders>
              <w:tl2br w:val="nil"/>
              <w:tr2bl w:val="nil"/>
            </w:tcBorders>
            <w:shd w:val="clear" w:color="auto" w:fill="auto"/>
            <w:tcMar>
              <w:top w:w="28" w:type="dxa"/>
              <w:left w:w="28" w:type="dxa"/>
              <w:bottom w:w="28" w:type="dxa"/>
              <w:right w:w="28" w:type="dxa"/>
            </w:tcMar>
            <w:vAlign w:val="center"/>
          </w:tcPr>
          <w:p>
            <w:pPr>
              <w:pStyle w:val="48"/>
              <w:jc w:val="center"/>
              <w:rPr>
                <w:rFonts w:ascii="Times New Roman" w:hAnsi="Times New Roman" w:eastAsia="宋体" w:cs="Times New Roman"/>
                <w:bCs/>
                <w:color w:val="auto"/>
                <w:kern w:val="2"/>
                <w:sz w:val="21"/>
                <w:szCs w:val="21"/>
                <w:highlight w:val="none"/>
                <w:lang w:val="en-US" w:eastAsia="zh-CN" w:bidi="ar-SA"/>
              </w:rPr>
            </w:pPr>
            <w:r>
              <w:rPr>
                <w:bCs/>
                <w:color w:val="auto"/>
                <w:szCs w:val="21"/>
                <w:highlight w:val="none"/>
              </w:rPr>
              <w:t>0.06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tcBorders>
              <w:tl2br w:val="nil"/>
              <w:tr2bl w:val="nil"/>
            </w:tcBorders>
            <w:vAlign w:val="center"/>
          </w:tcPr>
          <w:p>
            <w:pPr>
              <w:pStyle w:val="72"/>
              <w:spacing w:line="240" w:lineRule="auto"/>
              <w:ind w:firstLine="0" w:firstLineChars="0"/>
              <w:jc w:val="center"/>
              <w:rPr>
                <w:rFonts w:ascii="Times New Roman" w:hAnsi="Times New Roman" w:cs="Times New Roman"/>
                <w:bCs/>
                <w:color w:val="auto"/>
                <w:sz w:val="21"/>
                <w:szCs w:val="21"/>
                <w:highlight w:val="none"/>
              </w:rPr>
            </w:pPr>
            <w:r>
              <w:rPr>
                <w:rFonts w:ascii="Times New Roman" w:hAnsi="Times New Roman" w:cs="Times New Roman"/>
                <w:bCs/>
                <w:color w:val="auto"/>
                <w:sz w:val="21"/>
                <w:szCs w:val="21"/>
                <w:highlight w:val="none"/>
              </w:rPr>
              <w:t>噪声</w:t>
            </w:r>
          </w:p>
        </w:tc>
        <w:tc>
          <w:tcPr>
            <w:tcW w:w="1428" w:type="dxa"/>
            <w:tcBorders>
              <w:tl2br w:val="nil"/>
              <w:tr2bl w:val="nil"/>
            </w:tcBorders>
            <w:shd w:val="clear" w:color="auto" w:fill="auto"/>
            <w:vAlign w:val="center"/>
          </w:tcPr>
          <w:p>
            <w:pPr>
              <w:widowControl/>
              <w:jc w:val="center"/>
              <w:rPr>
                <w:rFonts w:ascii="Times New Roman" w:hAnsi="Times New Roman" w:cs="Times New Roman"/>
                <w:color w:val="auto"/>
                <w:kern w:val="0"/>
                <w:szCs w:val="21"/>
                <w:highlight w:val="none"/>
              </w:rPr>
            </w:pPr>
            <w:r>
              <w:rPr>
                <w:rFonts w:ascii="Times New Roman" w:hAnsi="Times New Roman" w:cs="Times New Roman"/>
                <w:color w:val="auto"/>
                <w:kern w:val="0"/>
                <w:szCs w:val="21"/>
                <w:highlight w:val="none"/>
              </w:rPr>
              <w:t>工业企业厂界噪声</w:t>
            </w:r>
          </w:p>
        </w:tc>
        <w:tc>
          <w:tcPr>
            <w:tcW w:w="4752" w:type="dxa"/>
            <w:tcBorders>
              <w:tl2br w:val="nil"/>
              <w:tr2bl w:val="nil"/>
            </w:tcBorders>
            <w:shd w:val="clear" w:color="auto" w:fill="auto"/>
            <w:vAlign w:val="center"/>
          </w:tcPr>
          <w:p>
            <w:pPr>
              <w:widowControl/>
              <w:jc w:val="center"/>
              <w:rPr>
                <w:rFonts w:ascii="Times New Roman" w:hAnsi="Times New Roman" w:cs="Times New Roman"/>
                <w:bCs/>
                <w:color w:val="auto"/>
                <w:szCs w:val="21"/>
                <w:highlight w:val="none"/>
              </w:rPr>
            </w:pPr>
            <w:r>
              <w:rPr>
                <w:rFonts w:ascii="Times New Roman" w:hAnsi="Times New Roman" w:cs="Times New Roman"/>
                <w:bCs/>
                <w:color w:val="auto"/>
                <w:szCs w:val="21"/>
                <w:highlight w:val="none"/>
              </w:rPr>
              <w:t>工业企业厂界环境噪声排放标准</w:t>
            </w:r>
          </w:p>
          <w:p>
            <w:pPr>
              <w:widowControl/>
              <w:jc w:val="center"/>
              <w:rPr>
                <w:rStyle w:val="65"/>
                <w:rFonts w:ascii="Times New Roman" w:hAnsi="Times New Roman" w:cs="Times New Roman"/>
                <w:color w:val="auto"/>
                <w:szCs w:val="21"/>
                <w:highlight w:val="none"/>
                <w:shd w:val="clear" w:color="auto" w:fill="FFFFFF"/>
              </w:rPr>
            </w:pPr>
            <w:r>
              <w:rPr>
                <w:color w:val="auto"/>
                <w:highlight w:val="none"/>
              </w:rPr>
              <w:fldChar w:fldCharType="begin"/>
            </w:r>
            <w:r>
              <w:rPr>
                <w:color w:val="auto"/>
                <w:highlight w:val="none"/>
              </w:rPr>
              <w:instrText xml:space="preserve"> HYPERLINK "http://www.spsp.gov.cn/page/CN/2008/GB%2012348-2008.shtml" \t "_blank" </w:instrText>
            </w:r>
            <w:r>
              <w:rPr>
                <w:color w:val="auto"/>
                <w:highlight w:val="none"/>
              </w:rPr>
              <w:fldChar w:fldCharType="separate"/>
            </w:r>
            <w:r>
              <w:rPr>
                <w:rFonts w:ascii="Times New Roman" w:hAnsi="Times New Roman" w:cs="Times New Roman"/>
                <w:bCs/>
                <w:color w:val="auto"/>
                <w:szCs w:val="21"/>
                <w:highlight w:val="none"/>
              </w:rPr>
              <w:t>GB 12348-2008</w:t>
            </w:r>
            <w:r>
              <w:rPr>
                <w:rFonts w:ascii="Times New Roman" w:hAnsi="Times New Roman" w:cs="Times New Roman"/>
                <w:bCs/>
                <w:color w:val="auto"/>
                <w:szCs w:val="21"/>
                <w:highlight w:val="none"/>
              </w:rPr>
              <w:fldChar w:fldCharType="end"/>
            </w:r>
          </w:p>
        </w:tc>
        <w:tc>
          <w:tcPr>
            <w:tcW w:w="1245" w:type="dxa"/>
            <w:tcBorders>
              <w:tl2br w:val="nil"/>
              <w:tr2bl w:val="nil"/>
            </w:tcBorders>
            <w:shd w:val="clear" w:color="auto" w:fill="auto"/>
            <w:vAlign w:val="center"/>
          </w:tcPr>
          <w:p>
            <w:pPr>
              <w:widowControl/>
              <w:jc w:val="center"/>
              <w:rPr>
                <w:rFonts w:ascii="Times New Roman" w:hAnsi="Times New Roman" w:cs="Times New Roman"/>
                <w:bCs/>
                <w:color w:val="auto"/>
                <w:szCs w:val="21"/>
                <w:highlight w:val="none"/>
              </w:rPr>
            </w:pPr>
            <w:r>
              <w:rPr>
                <w:rFonts w:ascii="Times New Roman" w:hAnsi="Times New Roman" w:cs="Times New Roman"/>
                <w:bCs/>
                <w:color w:val="auto"/>
                <w:szCs w:val="21"/>
                <w:highlight w:val="none"/>
              </w:rPr>
              <w:t>35dB</w:t>
            </w:r>
          </w:p>
        </w:tc>
      </w:tr>
    </w:tbl>
    <w:p>
      <w:pPr>
        <w:pStyle w:val="4"/>
        <w:spacing w:before="0" w:after="0" w:line="360" w:lineRule="auto"/>
        <w:rPr>
          <w:rFonts w:ascii="Times New Roman" w:hAnsi="Times New Roman" w:cs="Times New Roman" w:eastAsiaTheme="minorEastAsia"/>
          <w:color w:val="auto"/>
          <w:sz w:val="24"/>
          <w:szCs w:val="24"/>
          <w:highlight w:val="none"/>
        </w:rPr>
      </w:pPr>
      <w:bookmarkStart w:id="56" w:name="_Toc2503"/>
      <w:bookmarkStart w:id="57" w:name="_Toc9516"/>
      <w:bookmarkStart w:id="58" w:name="_Toc12977"/>
      <w:bookmarkStart w:id="59" w:name="_Toc16110"/>
      <w:r>
        <w:rPr>
          <w:rFonts w:ascii="Times New Roman" w:hAnsi="Times New Roman" w:cs="Times New Roman" w:eastAsiaTheme="minorEastAsia"/>
          <w:color w:val="auto"/>
          <w:sz w:val="24"/>
          <w:szCs w:val="24"/>
          <w:highlight w:val="none"/>
        </w:rPr>
        <w:t>8.2监测仪器</w:t>
      </w:r>
      <w:bookmarkEnd w:id="56"/>
      <w:bookmarkEnd w:id="57"/>
      <w:bookmarkEnd w:id="58"/>
      <w:bookmarkEnd w:id="59"/>
    </w:p>
    <w:p>
      <w:pPr>
        <w:spacing w:line="360" w:lineRule="auto"/>
        <w:ind w:firstLine="480" w:firstLineChars="200"/>
        <w:rPr>
          <w:rFonts w:ascii="Times New Roman" w:hAnsi="Times New Roman" w:cs="Times New Roman"/>
          <w:bCs/>
          <w:color w:val="auto"/>
          <w:sz w:val="24"/>
          <w:szCs w:val="24"/>
          <w:highlight w:val="none"/>
        </w:rPr>
      </w:pPr>
      <w:bookmarkStart w:id="60" w:name="_Toc12303"/>
      <w:bookmarkStart w:id="61" w:name="_Toc24126"/>
      <w:r>
        <w:rPr>
          <w:rFonts w:ascii="Times New Roman" w:hAnsi="Times New Roman" w:cs="Times New Roman"/>
          <w:bCs/>
          <w:color w:val="auto"/>
          <w:sz w:val="24"/>
          <w:szCs w:val="24"/>
          <w:highlight w:val="none"/>
        </w:rPr>
        <w:t>根据</w:t>
      </w:r>
      <w:r>
        <w:rPr>
          <w:rFonts w:ascii="Times New Roman" w:hAnsi="Times New Roman" w:cs="Times New Roman"/>
          <w:color w:val="auto"/>
          <w:sz w:val="24"/>
          <w:szCs w:val="24"/>
          <w:highlight w:val="none"/>
        </w:rPr>
        <w:t>《检验检测机构资质认定能力评价 检验检测机构通用要求》（RB/T214-2017）</w:t>
      </w:r>
      <w:r>
        <w:rPr>
          <w:rFonts w:ascii="Times New Roman" w:hAnsi="Times New Roman" w:cs="Times New Roman"/>
          <w:bCs/>
          <w:color w:val="auto"/>
          <w:sz w:val="24"/>
          <w:szCs w:val="24"/>
          <w:highlight w:val="none"/>
        </w:rPr>
        <w:t>的规定，建立了适合本公司的《仪器设备管理程序》、《仪器设备期间核查程序》等与仪器设备相关的程序，使设备的性能和状态符合检测技术要求，对仪器设备实施有效管理，参与项目的监测仪器均经有资质单位经过检定、校准合格后使用，并在规定的时间内根据实际情况落实各类期间核查计划，能保证监测数据的有效，</w:t>
      </w:r>
      <w:r>
        <w:rPr>
          <w:rFonts w:ascii="Times New Roman" w:hAnsi="Times New Roman" w:cs="Times New Roman"/>
          <w:color w:val="auto"/>
          <w:sz w:val="24"/>
          <w:szCs w:val="24"/>
          <w:highlight w:val="none"/>
        </w:rPr>
        <w:t>监测期间使用的主要仪器设备见表8-2</w:t>
      </w:r>
      <w:r>
        <w:rPr>
          <w:rFonts w:ascii="Times New Roman" w:hAnsi="Times New Roman" w:cs="Times New Roman"/>
          <w:bCs/>
          <w:color w:val="auto"/>
          <w:sz w:val="24"/>
          <w:szCs w:val="24"/>
          <w:highlight w:val="none"/>
        </w:rPr>
        <w:t>。</w:t>
      </w:r>
    </w:p>
    <w:p>
      <w:pPr>
        <w:pStyle w:val="72"/>
        <w:spacing w:line="360" w:lineRule="auto"/>
        <w:ind w:firstLine="0" w:firstLineChars="0"/>
        <w:jc w:val="center"/>
        <w:rPr>
          <w:rFonts w:ascii="Times New Roman" w:hAnsi="Times New Roman" w:cs="Times New Roman"/>
          <w:b/>
          <w:color w:val="auto"/>
          <w:szCs w:val="24"/>
          <w:highlight w:val="none"/>
        </w:rPr>
      </w:pPr>
    </w:p>
    <w:p>
      <w:pPr>
        <w:pStyle w:val="72"/>
        <w:spacing w:line="360" w:lineRule="auto"/>
        <w:ind w:firstLine="0" w:firstLineChars="0"/>
        <w:jc w:val="center"/>
        <w:rPr>
          <w:rFonts w:ascii="Times New Roman" w:hAnsi="Times New Roman" w:cs="Times New Roman"/>
          <w:b/>
          <w:color w:val="auto"/>
          <w:szCs w:val="24"/>
          <w:highlight w:val="none"/>
        </w:rPr>
      </w:pPr>
      <w:r>
        <w:rPr>
          <w:rFonts w:ascii="Times New Roman" w:hAnsi="Times New Roman" w:cs="Times New Roman"/>
          <w:b/>
          <w:color w:val="auto"/>
          <w:szCs w:val="24"/>
          <w:highlight w:val="none"/>
        </w:rPr>
        <w:t>表8-2 监测仪器设备一览表</w:t>
      </w:r>
    </w:p>
    <w:tbl>
      <w:tblPr>
        <w:tblStyle w:val="23"/>
        <w:tblW w:w="846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2352"/>
        <w:gridCol w:w="1737"/>
        <w:gridCol w:w="2670"/>
        <w:gridCol w:w="17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2352" w:type="dxa"/>
            <w:tcBorders>
              <w:tl2br w:val="nil"/>
              <w:tr2bl w:val="nil"/>
            </w:tcBorders>
            <w:tcMar>
              <w:left w:w="28" w:type="dxa"/>
              <w:right w:w="28" w:type="dxa"/>
            </w:tcMar>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仪器名称</w:t>
            </w:r>
          </w:p>
        </w:tc>
        <w:tc>
          <w:tcPr>
            <w:tcW w:w="1737" w:type="dxa"/>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规格型号</w:t>
            </w:r>
          </w:p>
        </w:tc>
        <w:tc>
          <w:tcPr>
            <w:tcW w:w="2670" w:type="dxa"/>
            <w:tcBorders>
              <w:tl2br w:val="nil"/>
              <w:tr2bl w:val="nil"/>
            </w:tcBorders>
            <w:tcMar>
              <w:left w:w="28" w:type="dxa"/>
              <w:right w:w="28" w:type="dxa"/>
            </w:tcMar>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监测因子</w:t>
            </w:r>
          </w:p>
        </w:tc>
        <w:tc>
          <w:tcPr>
            <w:tcW w:w="1701" w:type="dxa"/>
            <w:tcBorders>
              <w:tl2br w:val="nil"/>
              <w:tr2bl w:val="nil"/>
            </w:tcBorders>
            <w:vAlign w:val="center"/>
          </w:tcPr>
          <w:p>
            <w:pPr>
              <w:ind w:firstLine="13" w:firstLineChars="6"/>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检定或校准情况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352" w:type="dxa"/>
            <w:tcBorders>
              <w:tl2br w:val="nil"/>
              <w:tr2bl w:val="nil"/>
            </w:tcBorders>
            <w:tcMar>
              <w:left w:w="28" w:type="dxa"/>
              <w:right w:w="28" w:type="dxa"/>
            </w:tcMar>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 xml:space="preserve">电子天平 </w:t>
            </w:r>
          </w:p>
        </w:tc>
        <w:tc>
          <w:tcPr>
            <w:tcW w:w="1737"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CPA225D</w:t>
            </w:r>
          </w:p>
        </w:tc>
        <w:tc>
          <w:tcPr>
            <w:tcW w:w="2670" w:type="dxa"/>
            <w:tcBorders>
              <w:tl2br w:val="nil"/>
              <w:tr2bl w:val="nil"/>
            </w:tcBorders>
            <w:tcMar>
              <w:left w:w="28" w:type="dxa"/>
              <w:right w:w="28" w:type="dxa"/>
            </w:tcMar>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颗粒物</w:t>
            </w:r>
          </w:p>
        </w:tc>
        <w:tc>
          <w:tcPr>
            <w:tcW w:w="1701"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检定合格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352" w:type="dxa"/>
            <w:tcBorders>
              <w:tl2br w:val="nil"/>
              <w:tr2bl w:val="nil"/>
            </w:tcBorders>
            <w:tcMar>
              <w:left w:w="28" w:type="dxa"/>
              <w:right w:w="28" w:type="dxa"/>
            </w:tcMar>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 xml:space="preserve">可见分光光度计 </w:t>
            </w:r>
          </w:p>
        </w:tc>
        <w:tc>
          <w:tcPr>
            <w:tcW w:w="1737" w:type="dxa"/>
            <w:tcBorders>
              <w:tl2br w:val="nil"/>
              <w:tr2bl w:val="nil"/>
            </w:tcBorders>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722N</w:t>
            </w:r>
          </w:p>
        </w:tc>
        <w:tc>
          <w:tcPr>
            <w:tcW w:w="2670" w:type="dxa"/>
            <w:tcBorders>
              <w:tl2br w:val="nil"/>
              <w:tr2bl w:val="nil"/>
            </w:tcBorders>
            <w:tcMar>
              <w:left w:w="28" w:type="dxa"/>
              <w:right w:w="28" w:type="dxa"/>
            </w:tcMar>
            <w:vAlign w:val="center"/>
          </w:tcPr>
          <w:p>
            <w:pPr>
              <w:jc w:val="center"/>
              <w:rPr>
                <w:rFonts w:ascii="Times New Roman" w:hAnsi="Times New Roman" w:eastAsia="宋体"/>
                <w:color w:val="auto"/>
                <w:szCs w:val="21"/>
                <w:highlight w:val="none"/>
              </w:rPr>
            </w:pPr>
            <w:r>
              <w:rPr>
                <w:rFonts w:ascii="Times New Roman" w:hAnsi="Times New Roman"/>
                <w:color w:val="auto"/>
                <w:szCs w:val="21"/>
                <w:highlight w:val="none"/>
              </w:rPr>
              <w:t>氨氮</w:t>
            </w:r>
          </w:p>
        </w:tc>
        <w:tc>
          <w:tcPr>
            <w:tcW w:w="1701" w:type="dxa"/>
            <w:tcBorders>
              <w:tl2br w:val="nil"/>
              <w:tr2bl w:val="nil"/>
            </w:tcBorders>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检定合格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352" w:type="dxa"/>
            <w:tcBorders>
              <w:tl2br w:val="nil"/>
              <w:tr2bl w:val="nil"/>
            </w:tcBorders>
            <w:tcMar>
              <w:left w:w="28" w:type="dxa"/>
              <w:right w:w="28" w:type="dxa"/>
            </w:tcMar>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溶解氧测定仪</w:t>
            </w:r>
          </w:p>
        </w:tc>
        <w:tc>
          <w:tcPr>
            <w:tcW w:w="1737" w:type="dxa"/>
            <w:tcBorders>
              <w:tl2br w:val="nil"/>
              <w:tr2bl w:val="nil"/>
            </w:tcBorders>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 xml:space="preserve"> JPSJ-605</w:t>
            </w:r>
          </w:p>
        </w:tc>
        <w:tc>
          <w:tcPr>
            <w:tcW w:w="2670" w:type="dxa"/>
            <w:tcBorders>
              <w:tl2br w:val="nil"/>
              <w:tr2bl w:val="nil"/>
            </w:tcBorders>
            <w:tcMar>
              <w:left w:w="28" w:type="dxa"/>
              <w:right w:w="28" w:type="dxa"/>
            </w:tcMar>
            <w:vAlign w:val="center"/>
          </w:tcPr>
          <w:p>
            <w:pPr>
              <w:jc w:val="center"/>
              <w:rPr>
                <w:rFonts w:ascii="Times New Roman" w:hAnsi="Times New Roman"/>
                <w:color w:val="auto"/>
                <w:highlight w:val="none"/>
              </w:rPr>
            </w:pPr>
            <w:r>
              <w:rPr>
                <w:rFonts w:ascii="Times New Roman" w:hAnsi="Times New Roman"/>
                <w:color w:val="auto"/>
                <w:szCs w:val="21"/>
                <w:highlight w:val="none"/>
              </w:rPr>
              <w:t>五日生化需氧量</w:t>
            </w:r>
          </w:p>
        </w:tc>
        <w:tc>
          <w:tcPr>
            <w:tcW w:w="1701" w:type="dxa"/>
            <w:tcBorders>
              <w:tl2br w:val="nil"/>
              <w:tr2bl w:val="nil"/>
            </w:tcBorders>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检定合格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352" w:type="dxa"/>
            <w:tcBorders>
              <w:tl2br w:val="nil"/>
              <w:tr2bl w:val="nil"/>
            </w:tcBorders>
            <w:tcMar>
              <w:left w:w="28" w:type="dxa"/>
              <w:right w:w="28" w:type="dxa"/>
            </w:tcMar>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红外分光测油仪</w:t>
            </w:r>
          </w:p>
        </w:tc>
        <w:tc>
          <w:tcPr>
            <w:tcW w:w="1737"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 xml:space="preserve"> OIL460</w:t>
            </w:r>
          </w:p>
        </w:tc>
        <w:tc>
          <w:tcPr>
            <w:tcW w:w="2670" w:type="dxa"/>
            <w:tcBorders>
              <w:tl2br w:val="nil"/>
              <w:tr2bl w:val="nil"/>
            </w:tcBorders>
            <w:tcMar>
              <w:left w:w="28" w:type="dxa"/>
              <w:right w:w="28" w:type="dxa"/>
            </w:tcMar>
            <w:vAlign w:val="center"/>
          </w:tcPr>
          <w:p>
            <w:pPr>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cs="Times New Roman"/>
                <w:color w:val="auto"/>
                <w:szCs w:val="21"/>
                <w:highlight w:val="none"/>
              </w:rPr>
              <w:t>动植物油类</w:t>
            </w:r>
            <w:r>
              <w:rPr>
                <w:rFonts w:hint="eastAsia" w:ascii="Times New Roman" w:hAnsi="Times New Roman" w:cs="Times New Roman"/>
                <w:color w:val="auto"/>
                <w:szCs w:val="21"/>
                <w:highlight w:val="none"/>
                <w:lang w:eastAsia="zh-CN"/>
              </w:rPr>
              <w:t>、石油类</w:t>
            </w:r>
          </w:p>
        </w:tc>
        <w:tc>
          <w:tcPr>
            <w:tcW w:w="1701" w:type="dxa"/>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检定合格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352" w:type="dxa"/>
            <w:vAlign w:val="center"/>
          </w:tcPr>
          <w:p>
            <w:pPr>
              <w:jc w:val="center"/>
              <w:rPr>
                <w:rFonts w:ascii="Times New Roman" w:hAnsi="Times New Roman"/>
                <w:color w:val="auto"/>
                <w:szCs w:val="21"/>
                <w:highlight w:val="none"/>
              </w:rPr>
            </w:pPr>
            <w:bookmarkStart w:id="62" w:name="_Toc4877"/>
            <w:r>
              <w:rPr>
                <w:rFonts w:ascii="Times New Roman" w:hAnsi="Times New Roman"/>
                <w:color w:val="auto"/>
                <w:szCs w:val="21"/>
                <w:highlight w:val="none"/>
              </w:rPr>
              <w:t>电子天平</w:t>
            </w:r>
          </w:p>
        </w:tc>
        <w:tc>
          <w:tcPr>
            <w:tcW w:w="1737"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 xml:space="preserve"> AB135-S</w:t>
            </w:r>
          </w:p>
        </w:tc>
        <w:tc>
          <w:tcPr>
            <w:tcW w:w="2670" w:type="dxa"/>
            <w:vAlign w:val="center"/>
          </w:tcPr>
          <w:p>
            <w:pPr>
              <w:jc w:val="center"/>
              <w:rPr>
                <w:rFonts w:ascii="Times New Roman" w:hAnsi="Times New Roman"/>
                <w:color w:val="auto"/>
                <w:highlight w:val="none"/>
              </w:rPr>
            </w:pPr>
            <w:r>
              <w:rPr>
                <w:rFonts w:ascii="Times New Roman" w:hAnsi="Times New Roman"/>
                <w:color w:val="auto"/>
                <w:szCs w:val="21"/>
                <w:highlight w:val="none"/>
              </w:rPr>
              <w:t>悬浮物</w:t>
            </w:r>
          </w:p>
        </w:tc>
        <w:tc>
          <w:tcPr>
            <w:tcW w:w="1701"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检定合格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352"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多功能声级计</w:t>
            </w:r>
          </w:p>
        </w:tc>
        <w:tc>
          <w:tcPr>
            <w:tcW w:w="1737"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AWA6228</w:t>
            </w:r>
          </w:p>
        </w:tc>
        <w:tc>
          <w:tcPr>
            <w:tcW w:w="2670"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厂界噪声</w:t>
            </w:r>
          </w:p>
        </w:tc>
        <w:tc>
          <w:tcPr>
            <w:tcW w:w="1701"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校准合格</w:t>
            </w:r>
          </w:p>
        </w:tc>
      </w:tr>
    </w:tbl>
    <w:p>
      <w:pPr>
        <w:pStyle w:val="4"/>
        <w:spacing w:before="0" w:after="0" w:line="360" w:lineRule="auto"/>
        <w:rPr>
          <w:rFonts w:ascii="Times New Roman" w:hAnsi="Times New Roman" w:cs="Times New Roman" w:eastAsiaTheme="minorEastAsia"/>
          <w:color w:val="auto"/>
          <w:sz w:val="24"/>
          <w:szCs w:val="24"/>
          <w:highlight w:val="none"/>
        </w:rPr>
      </w:pPr>
      <w:bookmarkStart w:id="63" w:name="_Toc22407"/>
      <w:r>
        <w:rPr>
          <w:rFonts w:ascii="Times New Roman" w:hAnsi="Times New Roman" w:cs="Times New Roman" w:eastAsiaTheme="minorEastAsia"/>
          <w:color w:val="auto"/>
          <w:sz w:val="24"/>
          <w:szCs w:val="24"/>
          <w:highlight w:val="none"/>
        </w:rPr>
        <w:t>8.3人员资质</w:t>
      </w:r>
      <w:bookmarkEnd w:id="60"/>
      <w:bookmarkEnd w:id="61"/>
      <w:bookmarkEnd w:id="62"/>
      <w:bookmarkEnd w:id="63"/>
    </w:p>
    <w:p>
      <w:pPr>
        <w:spacing w:line="360" w:lineRule="auto"/>
        <w:ind w:firstLine="480" w:firstLineChars="200"/>
        <w:rPr>
          <w:rFonts w:ascii="Times New Roman" w:hAnsi="Times New Roman" w:cs="Times New Roman"/>
          <w:color w:val="auto"/>
          <w:highlight w:val="none"/>
        </w:rPr>
      </w:pPr>
      <w:r>
        <w:rPr>
          <w:rFonts w:ascii="Times New Roman" w:hAnsi="Times New Roman" w:cs="Times New Roman"/>
          <w:bCs/>
          <w:color w:val="auto"/>
          <w:sz w:val="24"/>
          <w:szCs w:val="24"/>
          <w:highlight w:val="none"/>
        </w:rPr>
        <w:t>参与项目的采样、分析技术人员均参与浙江省环境监测协会、公司内部的培训，并通过考核、拥有相关领域的上岗证才能进行相关领域的监测工作，做到了执证上岗。</w:t>
      </w:r>
      <w:bookmarkStart w:id="64" w:name="_Toc17361"/>
      <w:bookmarkStart w:id="65" w:name="_Toc16299"/>
      <w:bookmarkStart w:id="66" w:name="_Toc20027"/>
      <w:bookmarkStart w:id="67" w:name="_Toc28601"/>
      <w:bookmarkStart w:id="68" w:name="_Toc100"/>
    </w:p>
    <w:p>
      <w:pPr>
        <w:pStyle w:val="4"/>
        <w:spacing w:before="0" w:after="0" w:line="360" w:lineRule="auto"/>
        <w:rPr>
          <w:rFonts w:ascii="Times New Roman" w:hAnsi="Times New Roman" w:cs="Times New Roman" w:eastAsiaTheme="minorEastAsia"/>
          <w:color w:val="auto"/>
          <w:sz w:val="24"/>
          <w:szCs w:val="24"/>
          <w:highlight w:val="none"/>
        </w:rPr>
      </w:pPr>
      <w:bookmarkStart w:id="69" w:name="_Toc31989"/>
      <w:r>
        <w:rPr>
          <w:rFonts w:hint="eastAsia" w:ascii="Times New Roman" w:hAnsi="Times New Roman" w:cs="Times New Roman" w:eastAsiaTheme="minorEastAsia"/>
          <w:color w:val="auto"/>
          <w:sz w:val="24"/>
          <w:szCs w:val="24"/>
          <w:highlight w:val="none"/>
        </w:rPr>
        <w:t>8.4</w:t>
      </w:r>
      <w:r>
        <w:rPr>
          <w:rFonts w:ascii="Times New Roman" w:hAnsi="Times New Roman" w:cs="Times New Roman" w:eastAsiaTheme="minorEastAsia"/>
          <w:color w:val="auto"/>
          <w:sz w:val="24"/>
          <w:szCs w:val="24"/>
          <w:highlight w:val="none"/>
        </w:rPr>
        <w:t>水质监测分析过程中的质量保证和质量控制</w:t>
      </w:r>
      <w:bookmarkEnd w:id="69"/>
    </w:p>
    <w:p>
      <w:pPr>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废水监测仪器符合国家有关标准或技术要求，仪器经计量部门检定合格，并在检定有效期内使用。采样、运输、保存、分析全过程严格按照《地表水和污水监测技术规范》（HJ/T 91-2002）、《水质采样 样品的保存和管理技术规定》（HJ493-2009）、《水质 采样技术指导》（HJ494-2009）、《水质 采样方案设计技术指导》（HJ495-2009）规定执行。</w:t>
      </w:r>
    </w:p>
    <w:p>
      <w:pPr>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每批样品除pH、悬浮物外，其余项目采</w:t>
      </w:r>
      <w:r>
        <w:rPr>
          <w:rFonts w:hint="eastAsia" w:ascii="Times New Roman" w:hAnsi="Times New Roman" w:eastAsia="宋体" w:cs="Times New Roman"/>
          <w:color w:val="auto"/>
          <w:sz w:val="24"/>
          <w:szCs w:val="24"/>
          <w:highlight w:val="none"/>
        </w:rPr>
        <w:t>集</w:t>
      </w:r>
      <w:r>
        <w:rPr>
          <w:rFonts w:ascii="Times New Roman" w:hAnsi="Times New Roman" w:eastAsia="宋体" w:cs="Times New Roman"/>
          <w:color w:val="auto"/>
          <w:sz w:val="24"/>
          <w:szCs w:val="24"/>
          <w:highlight w:val="none"/>
        </w:rPr>
        <w:t>全程序空白样。每批样品除悬浮物、油样品（加采1次）外，其余每个项目加采不少于10%的现场平行样，不足10个样品至少要加采一个平行样，部分水质标准曲线质控检查见表</w:t>
      </w:r>
      <w:r>
        <w:rPr>
          <w:rFonts w:hint="eastAsia" w:ascii="Times New Roman" w:hAnsi="Times New Roman" w:eastAsia="宋体" w:cs="Times New Roman"/>
          <w:color w:val="auto"/>
          <w:sz w:val="24"/>
          <w:szCs w:val="24"/>
          <w:highlight w:val="none"/>
        </w:rPr>
        <w:t>8</w:t>
      </w:r>
      <w:r>
        <w:rPr>
          <w:rFonts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rPr>
        <w:t>3</w:t>
      </w:r>
      <w:r>
        <w:rPr>
          <w:rFonts w:ascii="Times New Roman" w:hAnsi="Times New Roman" w:eastAsia="宋体" w:cs="Times New Roman"/>
          <w:color w:val="auto"/>
          <w:sz w:val="24"/>
          <w:szCs w:val="24"/>
          <w:highlight w:val="none"/>
        </w:rPr>
        <w:t>，部分水质平行样偏差检查见表</w:t>
      </w:r>
      <w:r>
        <w:rPr>
          <w:rFonts w:hint="eastAsia" w:ascii="Times New Roman" w:hAnsi="Times New Roman" w:eastAsia="宋体" w:cs="Times New Roman"/>
          <w:color w:val="auto"/>
          <w:sz w:val="24"/>
          <w:szCs w:val="24"/>
          <w:highlight w:val="none"/>
        </w:rPr>
        <w:t>8</w:t>
      </w:r>
      <w:r>
        <w:rPr>
          <w:rFonts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rPr>
        <w:t>4</w:t>
      </w:r>
      <w:r>
        <w:rPr>
          <w:rFonts w:ascii="Times New Roman" w:hAnsi="Times New Roman" w:eastAsia="宋体" w:cs="Times New Roman"/>
          <w:color w:val="auto"/>
          <w:sz w:val="24"/>
          <w:szCs w:val="24"/>
          <w:highlight w:val="none"/>
        </w:rPr>
        <w:t>。</w:t>
      </w:r>
    </w:p>
    <w:p>
      <w:pPr>
        <w:pStyle w:val="72"/>
        <w:spacing w:line="240" w:lineRule="auto"/>
        <w:ind w:firstLine="0" w:firstLineChars="0"/>
        <w:jc w:val="center"/>
        <w:rPr>
          <w:rFonts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表</w:t>
      </w:r>
      <w:r>
        <w:rPr>
          <w:rFonts w:hint="eastAsia" w:ascii="Times New Roman" w:hAnsi="Times New Roman" w:eastAsia="宋体" w:cs="Times New Roman"/>
          <w:b/>
          <w:bCs/>
          <w:color w:val="auto"/>
          <w:highlight w:val="none"/>
        </w:rPr>
        <w:t>8</w:t>
      </w:r>
      <w:r>
        <w:rPr>
          <w:rFonts w:ascii="Times New Roman" w:hAnsi="Times New Roman" w:eastAsia="宋体" w:cs="Times New Roman"/>
          <w:b/>
          <w:bCs/>
          <w:color w:val="auto"/>
          <w:highlight w:val="none"/>
        </w:rPr>
        <w:t>-</w:t>
      </w:r>
      <w:r>
        <w:rPr>
          <w:rFonts w:hint="eastAsia" w:ascii="Times New Roman" w:hAnsi="Times New Roman" w:eastAsia="宋体" w:cs="Times New Roman"/>
          <w:b/>
          <w:bCs/>
          <w:color w:val="auto"/>
          <w:highlight w:val="none"/>
        </w:rPr>
        <w:t>3</w:t>
      </w:r>
      <w:r>
        <w:rPr>
          <w:rFonts w:ascii="Times New Roman" w:hAnsi="Times New Roman" w:eastAsia="宋体" w:cs="Times New Roman"/>
          <w:b/>
          <w:bCs/>
          <w:color w:val="auto"/>
          <w:highlight w:val="none"/>
        </w:rPr>
        <w:t>部分水质标准曲线质控检查表</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2"/>
        <w:gridCol w:w="825"/>
        <w:gridCol w:w="1725"/>
        <w:gridCol w:w="1623"/>
        <w:gridCol w:w="1413"/>
        <w:gridCol w:w="1405"/>
        <w:gridCol w:w="8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2" w:type="pct"/>
            <w:tcBorders>
              <w:tl2br w:val="nil"/>
              <w:tr2bl w:val="nil"/>
            </w:tcBorders>
            <w:noWrap/>
            <w:vAlign w:val="center"/>
          </w:tcPr>
          <w:p>
            <w:pPr>
              <w:adjustRightInd w:val="0"/>
              <w:snapToGrid w:val="0"/>
              <w:jc w:val="center"/>
              <w:rPr>
                <w:rFonts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项目</w:t>
            </w:r>
          </w:p>
        </w:tc>
        <w:tc>
          <w:tcPr>
            <w:tcW w:w="484" w:type="pct"/>
            <w:tcBorders>
              <w:tl2br w:val="nil"/>
              <w:tr2bl w:val="nil"/>
            </w:tcBorders>
            <w:noWrap/>
            <w:vAlign w:val="center"/>
          </w:tcPr>
          <w:p>
            <w:pPr>
              <w:adjustRightInd w:val="0"/>
              <w:snapToGrid w:val="0"/>
              <w:jc w:val="center"/>
              <w:rPr>
                <w:rFonts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质控编号</w:t>
            </w:r>
          </w:p>
        </w:tc>
        <w:tc>
          <w:tcPr>
            <w:tcW w:w="1012" w:type="pct"/>
            <w:tcBorders>
              <w:tl2br w:val="nil"/>
              <w:tr2bl w:val="nil"/>
            </w:tcBorders>
            <w:noWrap/>
            <w:vAlign w:val="center"/>
          </w:tcPr>
          <w:p>
            <w:pPr>
              <w:adjustRightInd w:val="0"/>
              <w:snapToGrid w:val="0"/>
              <w:jc w:val="center"/>
              <w:rPr>
                <w:rFonts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lang w:eastAsia="zh-CN"/>
              </w:rPr>
              <w:t>核查</w:t>
            </w:r>
            <w:r>
              <w:rPr>
                <w:rFonts w:ascii="Times New Roman" w:hAnsi="Times New Roman" w:eastAsia="宋体" w:cs="Times New Roman"/>
                <w:b/>
                <w:bCs/>
                <w:color w:val="auto"/>
                <w:highlight w:val="none"/>
              </w:rPr>
              <w:t>含量（ug）</w:t>
            </w:r>
          </w:p>
        </w:tc>
        <w:tc>
          <w:tcPr>
            <w:tcW w:w="952" w:type="pct"/>
            <w:tcBorders>
              <w:tl2br w:val="nil"/>
              <w:tr2bl w:val="nil"/>
            </w:tcBorders>
            <w:noWrap/>
            <w:vAlign w:val="center"/>
          </w:tcPr>
          <w:p>
            <w:pPr>
              <w:adjustRightInd w:val="0"/>
              <w:snapToGrid w:val="0"/>
              <w:jc w:val="center"/>
              <w:rPr>
                <w:rFonts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实测含量（ug）</w:t>
            </w:r>
          </w:p>
        </w:tc>
        <w:tc>
          <w:tcPr>
            <w:tcW w:w="829" w:type="pct"/>
            <w:tcBorders>
              <w:tl2br w:val="nil"/>
              <w:tr2bl w:val="nil"/>
            </w:tcBorders>
            <w:noWrap/>
            <w:vAlign w:val="center"/>
          </w:tcPr>
          <w:p>
            <w:pPr>
              <w:adjustRightInd w:val="0"/>
              <w:snapToGrid w:val="0"/>
              <w:jc w:val="center"/>
              <w:rPr>
                <w:rFonts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lang w:eastAsia="zh-CN"/>
              </w:rPr>
              <w:t>相对误差</w:t>
            </w:r>
            <w:r>
              <w:rPr>
                <w:rFonts w:ascii="Times New Roman" w:hAnsi="Times New Roman" w:eastAsia="宋体" w:cs="Times New Roman"/>
                <w:b/>
                <w:bCs/>
                <w:color w:val="auto"/>
                <w:highlight w:val="none"/>
              </w:rPr>
              <w:t>（%）</w:t>
            </w:r>
          </w:p>
        </w:tc>
        <w:tc>
          <w:tcPr>
            <w:tcW w:w="824" w:type="pct"/>
            <w:tcBorders>
              <w:tl2br w:val="nil"/>
              <w:tr2bl w:val="nil"/>
            </w:tcBorders>
            <w:noWrap/>
            <w:vAlign w:val="center"/>
          </w:tcPr>
          <w:p>
            <w:pPr>
              <w:adjustRightInd w:val="0"/>
              <w:snapToGrid w:val="0"/>
              <w:jc w:val="center"/>
              <w:rPr>
                <w:rFonts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质控要求（%）</w:t>
            </w:r>
          </w:p>
        </w:tc>
        <w:tc>
          <w:tcPr>
            <w:tcW w:w="483" w:type="pct"/>
            <w:tcBorders>
              <w:tl2br w:val="nil"/>
              <w:tr2bl w:val="nil"/>
            </w:tcBorders>
            <w:noWrap/>
            <w:vAlign w:val="center"/>
          </w:tcPr>
          <w:p>
            <w:pPr>
              <w:adjustRightInd w:val="0"/>
              <w:snapToGrid w:val="0"/>
              <w:jc w:val="center"/>
              <w:rPr>
                <w:rFonts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结果</w:t>
            </w:r>
          </w:p>
          <w:p>
            <w:pPr>
              <w:adjustRightInd w:val="0"/>
              <w:snapToGrid w:val="0"/>
              <w:jc w:val="center"/>
              <w:rPr>
                <w:rFonts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评定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2" w:type="pct"/>
            <w:vMerge w:val="restart"/>
            <w:tcBorders>
              <w:tl2br w:val="nil"/>
              <w:tr2bl w:val="nil"/>
            </w:tcBorders>
            <w:noWrap/>
            <w:vAlign w:val="center"/>
          </w:tcPr>
          <w:p>
            <w:pPr>
              <w:adjustRightInd w:val="0"/>
              <w:snapToGrid w:val="0"/>
              <w:jc w:val="center"/>
              <w:rPr>
                <w:rFonts w:ascii="Times New Roman" w:hAnsi="Times New Roman" w:eastAsia="宋体" w:cs="Times New Roman"/>
                <w:color w:val="auto"/>
                <w:kern w:val="0"/>
                <w:szCs w:val="21"/>
                <w:highlight w:val="none"/>
              </w:rPr>
            </w:pPr>
            <w:r>
              <w:rPr>
                <w:rFonts w:ascii="Times New Roman" w:hAnsi="Times New Roman" w:eastAsia="宋体" w:cs="Times New Roman"/>
                <w:color w:val="auto"/>
                <w:kern w:val="0"/>
                <w:szCs w:val="21"/>
                <w:highlight w:val="none"/>
              </w:rPr>
              <w:t>氨氮</w:t>
            </w:r>
          </w:p>
        </w:tc>
        <w:tc>
          <w:tcPr>
            <w:tcW w:w="484" w:type="pct"/>
            <w:tcBorders>
              <w:tl2br w:val="nil"/>
              <w:tr2bl w:val="nil"/>
            </w:tcBorders>
            <w:noWrap/>
            <w:vAlign w:val="center"/>
          </w:tcPr>
          <w:p>
            <w:pPr>
              <w:widowControl/>
              <w:jc w:val="center"/>
              <w:rPr>
                <w:rFonts w:ascii="Times New Roman" w:hAnsi="Times New Roman" w:eastAsia="宋体" w:cs="Times New Roman"/>
                <w:color w:val="auto"/>
                <w:highlight w:val="none"/>
              </w:rPr>
            </w:pPr>
            <w:r>
              <w:rPr>
                <w:rFonts w:ascii="Times New Roman" w:hAnsi="Times New Roman" w:eastAsia="宋体" w:cs="Times New Roman"/>
                <w:color w:val="auto"/>
                <w:highlight w:val="none"/>
              </w:rPr>
              <w:t>ZK1</w:t>
            </w:r>
          </w:p>
        </w:tc>
        <w:tc>
          <w:tcPr>
            <w:tcW w:w="1012" w:type="pct"/>
            <w:tcBorders>
              <w:tl2br w:val="nil"/>
              <w:tr2bl w:val="nil"/>
            </w:tcBorders>
            <w:noWrap/>
            <w:vAlign w:val="center"/>
          </w:tcPr>
          <w:p>
            <w:pPr>
              <w:widowControl/>
              <w:jc w:val="center"/>
              <w:rPr>
                <w:rFonts w:ascii="Times New Roman" w:hAnsi="Times New Roman" w:eastAsia="宋体" w:cs="Times New Roman"/>
                <w:color w:val="auto"/>
                <w:highlight w:val="none"/>
              </w:rPr>
            </w:pPr>
            <w:r>
              <w:rPr>
                <w:rFonts w:ascii="Times New Roman" w:hAnsi="Times New Roman" w:eastAsia="宋体" w:cs="Times New Roman"/>
                <w:color w:val="auto"/>
                <w:highlight w:val="none"/>
              </w:rPr>
              <w:t>40.0</w:t>
            </w:r>
          </w:p>
        </w:tc>
        <w:tc>
          <w:tcPr>
            <w:tcW w:w="952" w:type="pct"/>
            <w:tcBorders>
              <w:tl2br w:val="nil"/>
              <w:tr2bl w:val="nil"/>
            </w:tcBorders>
            <w:noWrap/>
            <w:vAlign w:val="center"/>
          </w:tcPr>
          <w:p>
            <w:pPr>
              <w:widowControl/>
              <w:jc w:val="center"/>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rPr>
              <w:t>41.1</w:t>
            </w:r>
          </w:p>
        </w:tc>
        <w:tc>
          <w:tcPr>
            <w:tcW w:w="829" w:type="pct"/>
            <w:tcBorders>
              <w:tl2br w:val="nil"/>
              <w:tr2bl w:val="nil"/>
            </w:tcBorders>
            <w:noWrap/>
            <w:vAlign w:val="center"/>
          </w:tcPr>
          <w:p>
            <w:pPr>
              <w:widowControl/>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2.75</w:t>
            </w:r>
          </w:p>
        </w:tc>
        <w:tc>
          <w:tcPr>
            <w:tcW w:w="824" w:type="pct"/>
            <w:vMerge w:val="restart"/>
            <w:tcBorders>
              <w:tl2br w:val="nil"/>
              <w:tr2bl w:val="nil"/>
            </w:tcBorders>
            <w:noWrap/>
            <w:vAlign w:val="center"/>
          </w:tcPr>
          <w:p>
            <w:pPr>
              <w:widowControl/>
              <w:jc w:val="center"/>
              <w:rPr>
                <w:rFonts w:ascii="Times New Roman" w:hAnsi="Times New Roman" w:eastAsia="宋体" w:cs="Times New Roman"/>
                <w:color w:val="auto"/>
                <w:highlight w:val="none"/>
              </w:rPr>
            </w:pPr>
            <w:r>
              <w:rPr>
                <w:rFonts w:ascii="Times New Roman" w:hAnsi="Times New Roman" w:eastAsia="宋体" w:cs="Times New Roman"/>
                <w:color w:val="auto"/>
                <w:szCs w:val="21"/>
                <w:highlight w:val="none"/>
              </w:rPr>
              <w:t>≤10</w:t>
            </w:r>
          </w:p>
        </w:tc>
        <w:tc>
          <w:tcPr>
            <w:tcW w:w="483" w:type="pct"/>
            <w:tcBorders>
              <w:tl2br w:val="nil"/>
              <w:tr2bl w:val="nil"/>
            </w:tcBorders>
            <w:noWrap/>
            <w:vAlign w:val="center"/>
          </w:tcPr>
          <w:p>
            <w:pPr>
              <w:widowControl/>
              <w:jc w:val="center"/>
              <w:rPr>
                <w:rFonts w:ascii="Times New Roman" w:hAnsi="Times New Roman" w:eastAsia="宋体" w:cs="Times New Roman"/>
                <w:color w:val="auto"/>
                <w:highlight w:val="none"/>
              </w:rPr>
            </w:pPr>
            <w:r>
              <w:rPr>
                <w:rFonts w:ascii="Times New Roman" w:hAnsi="Times New Roman" w:eastAsia="宋体" w:cs="Times New Roman"/>
                <w:color w:val="auto"/>
                <w:highlight w:val="none"/>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2" w:type="pct"/>
            <w:vMerge w:val="continue"/>
            <w:tcBorders>
              <w:tl2br w:val="nil"/>
              <w:tr2bl w:val="nil"/>
            </w:tcBorders>
            <w:noWrap/>
            <w:vAlign w:val="center"/>
          </w:tcPr>
          <w:p>
            <w:pPr>
              <w:adjustRightInd w:val="0"/>
              <w:snapToGrid w:val="0"/>
              <w:jc w:val="center"/>
              <w:rPr>
                <w:rFonts w:ascii="Times New Roman" w:hAnsi="Times New Roman" w:eastAsia="宋体" w:cs="Times New Roman"/>
                <w:color w:val="auto"/>
                <w:kern w:val="0"/>
                <w:szCs w:val="21"/>
                <w:highlight w:val="none"/>
              </w:rPr>
            </w:pPr>
          </w:p>
        </w:tc>
        <w:tc>
          <w:tcPr>
            <w:tcW w:w="484" w:type="pct"/>
            <w:tcBorders>
              <w:tl2br w:val="nil"/>
              <w:tr2bl w:val="nil"/>
            </w:tcBorders>
            <w:noWrap/>
            <w:vAlign w:val="center"/>
          </w:tcPr>
          <w:p>
            <w:pPr>
              <w:widowControl/>
              <w:jc w:val="center"/>
              <w:rPr>
                <w:rFonts w:ascii="Times New Roman" w:hAnsi="Times New Roman" w:eastAsia="宋体" w:cs="Times New Roman"/>
                <w:color w:val="auto"/>
                <w:highlight w:val="none"/>
              </w:rPr>
            </w:pPr>
            <w:r>
              <w:rPr>
                <w:rFonts w:ascii="Times New Roman" w:hAnsi="Times New Roman" w:eastAsia="宋体" w:cs="Times New Roman"/>
                <w:color w:val="auto"/>
                <w:highlight w:val="none"/>
              </w:rPr>
              <w:t>ZK2</w:t>
            </w:r>
          </w:p>
        </w:tc>
        <w:tc>
          <w:tcPr>
            <w:tcW w:w="1012" w:type="pct"/>
            <w:tcBorders>
              <w:tl2br w:val="nil"/>
              <w:tr2bl w:val="nil"/>
            </w:tcBorders>
            <w:noWrap/>
            <w:vAlign w:val="center"/>
          </w:tcPr>
          <w:p>
            <w:pPr>
              <w:widowControl/>
              <w:jc w:val="center"/>
              <w:rPr>
                <w:rFonts w:ascii="Times New Roman" w:hAnsi="Times New Roman" w:eastAsia="宋体" w:cs="Times New Roman"/>
                <w:color w:val="auto"/>
                <w:highlight w:val="none"/>
              </w:rPr>
            </w:pPr>
            <w:r>
              <w:rPr>
                <w:rFonts w:ascii="Times New Roman" w:hAnsi="Times New Roman" w:eastAsia="宋体" w:cs="Times New Roman"/>
                <w:color w:val="auto"/>
                <w:highlight w:val="none"/>
              </w:rPr>
              <w:t>60.0</w:t>
            </w:r>
          </w:p>
        </w:tc>
        <w:tc>
          <w:tcPr>
            <w:tcW w:w="952" w:type="pct"/>
            <w:tcBorders>
              <w:tl2br w:val="nil"/>
              <w:tr2bl w:val="nil"/>
            </w:tcBorders>
            <w:noWrap/>
            <w:vAlign w:val="center"/>
          </w:tcPr>
          <w:p>
            <w:pPr>
              <w:widowControl/>
              <w:jc w:val="center"/>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rPr>
              <w:t>61.9</w:t>
            </w:r>
          </w:p>
        </w:tc>
        <w:tc>
          <w:tcPr>
            <w:tcW w:w="829" w:type="pct"/>
            <w:tcBorders>
              <w:tl2br w:val="nil"/>
              <w:tr2bl w:val="nil"/>
            </w:tcBorders>
            <w:noWrap/>
            <w:vAlign w:val="center"/>
          </w:tcPr>
          <w:p>
            <w:pPr>
              <w:widowControl/>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3.17</w:t>
            </w:r>
          </w:p>
        </w:tc>
        <w:tc>
          <w:tcPr>
            <w:tcW w:w="824" w:type="pct"/>
            <w:vMerge w:val="continue"/>
            <w:tcBorders>
              <w:tl2br w:val="nil"/>
              <w:tr2bl w:val="nil"/>
            </w:tcBorders>
            <w:noWrap/>
            <w:vAlign w:val="center"/>
          </w:tcPr>
          <w:p>
            <w:pPr>
              <w:widowControl/>
              <w:jc w:val="center"/>
              <w:rPr>
                <w:rFonts w:ascii="Times New Roman" w:hAnsi="Times New Roman" w:eastAsia="宋体" w:cs="Times New Roman"/>
                <w:color w:val="auto"/>
                <w:highlight w:val="none"/>
              </w:rPr>
            </w:pPr>
          </w:p>
        </w:tc>
        <w:tc>
          <w:tcPr>
            <w:tcW w:w="483" w:type="pct"/>
            <w:tcBorders>
              <w:tl2br w:val="nil"/>
              <w:tr2bl w:val="nil"/>
            </w:tcBorders>
            <w:noWrap/>
            <w:vAlign w:val="center"/>
          </w:tcPr>
          <w:p>
            <w:pPr>
              <w:widowControl/>
              <w:jc w:val="center"/>
              <w:rPr>
                <w:rFonts w:ascii="Times New Roman" w:hAnsi="Times New Roman" w:eastAsia="宋体" w:cs="Times New Roman"/>
                <w:color w:val="auto"/>
                <w:highlight w:val="none"/>
              </w:rPr>
            </w:pPr>
            <w:r>
              <w:rPr>
                <w:rFonts w:ascii="Times New Roman" w:hAnsi="Times New Roman" w:eastAsia="宋体" w:cs="Times New Roman"/>
                <w:color w:val="auto"/>
                <w:highlight w:val="none"/>
              </w:rPr>
              <w:t>合格</w:t>
            </w:r>
          </w:p>
        </w:tc>
      </w:tr>
    </w:tbl>
    <w:p>
      <w:pPr>
        <w:pStyle w:val="72"/>
        <w:spacing w:line="360" w:lineRule="auto"/>
        <w:ind w:firstLine="0" w:firstLineChars="0"/>
        <w:jc w:val="center"/>
        <w:rPr>
          <w:rFonts w:ascii="Times New Roman" w:hAnsi="Times New Roman" w:eastAsia="宋体" w:cs="Times New Roman"/>
          <w:b/>
          <w:bCs/>
          <w:color w:val="auto"/>
          <w:highlight w:val="none"/>
        </w:rPr>
      </w:pPr>
    </w:p>
    <w:p>
      <w:pPr>
        <w:pStyle w:val="72"/>
        <w:spacing w:line="360" w:lineRule="auto"/>
        <w:ind w:firstLine="0" w:firstLineChars="0"/>
        <w:jc w:val="center"/>
        <w:rPr>
          <w:rFonts w:ascii="Times New Roman" w:hAnsi="Times New Roman" w:eastAsia="宋体" w:cs="Times New Roman"/>
          <w:b/>
          <w:bCs/>
          <w:color w:val="auto"/>
          <w:highlight w:val="none"/>
        </w:rPr>
      </w:pPr>
    </w:p>
    <w:p>
      <w:pPr>
        <w:pStyle w:val="72"/>
        <w:spacing w:line="360" w:lineRule="auto"/>
        <w:ind w:firstLine="0" w:firstLineChars="0"/>
        <w:jc w:val="center"/>
        <w:rPr>
          <w:rFonts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表</w:t>
      </w:r>
      <w:r>
        <w:rPr>
          <w:rFonts w:hint="eastAsia" w:ascii="Times New Roman" w:hAnsi="Times New Roman" w:eastAsia="宋体" w:cs="Times New Roman"/>
          <w:b/>
          <w:bCs/>
          <w:color w:val="auto"/>
          <w:highlight w:val="none"/>
        </w:rPr>
        <w:t>8</w:t>
      </w:r>
      <w:r>
        <w:rPr>
          <w:rFonts w:ascii="Times New Roman" w:hAnsi="Times New Roman" w:eastAsia="宋体" w:cs="Times New Roman"/>
          <w:b/>
          <w:bCs/>
          <w:color w:val="auto"/>
          <w:highlight w:val="none"/>
        </w:rPr>
        <w:t>-</w:t>
      </w:r>
      <w:r>
        <w:rPr>
          <w:rFonts w:hint="eastAsia" w:ascii="Times New Roman" w:hAnsi="Times New Roman" w:eastAsia="宋体" w:cs="Times New Roman"/>
          <w:b/>
          <w:bCs/>
          <w:color w:val="auto"/>
          <w:highlight w:val="none"/>
        </w:rPr>
        <w:t>4</w:t>
      </w:r>
      <w:r>
        <w:rPr>
          <w:rFonts w:ascii="Times New Roman" w:hAnsi="Times New Roman" w:eastAsia="宋体" w:cs="Times New Roman"/>
          <w:b/>
          <w:bCs/>
          <w:color w:val="auto"/>
          <w:highlight w:val="none"/>
        </w:rPr>
        <w:t>部分水质平行样偏差检查表</w:t>
      </w:r>
    </w:p>
    <w:tbl>
      <w:tblPr>
        <w:tblStyle w:val="23"/>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8"/>
        <w:gridCol w:w="1427"/>
        <w:gridCol w:w="1264"/>
        <w:gridCol w:w="1193"/>
        <w:gridCol w:w="1057"/>
        <w:gridCol w:w="875"/>
        <w:gridCol w:w="1082"/>
        <w:gridCol w:w="6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0" w:type="pct"/>
            <w:tcBorders>
              <w:tl2br w:val="nil"/>
              <w:tr2bl w:val="nil"/>
            </w:tcBorders>
            <w:noWrap/>
            <w:vAlign w:val="center"/>
          </w:tcPr>
          <w:p>
            <w:pPr>
              <w:adjustRightInd w:val="0"/>
              <w:snapToGrid w:val="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项目</w:t>
            </w:r>
          </w:p>
        </w:tc>
        <w:tc>
          <w:tcPr>
            <w:tcW w:w="838" w:type="pct"/>
            <w:tcBorders>
              <w:tl2br w:val="nil"/>
              <w:tr2bl w:val="nil"/>
            </w:tcBorders>
            <w:noWrap/>
            <w:vAlign w:val="center"/>
          </w:tcPr>
          <w:p>
            <w:pPr>
              <w:adjustRightInd w:val="0"/>
              <w:snapToGrid w:val="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平行样编号</w:t>
            </w:r>
          </w:p>
        </w:tc>
        <w:tc>
          <w:tcPr>
            <w:tcW w:w="742" w:type="pct"/>
            <w:tcBorders>
              <w:tl2br w:val="nil"/>
              <w:tr2bl w:val="nil"/>
            </w:tcBorders>
            <w:noWrap/>
            <w:vAlign w:val="center"/>
          </w:tcPr>
          <w:p>
            <w:pPr>
              <w:adjustRightInd w:val="0"/>
              <w:snapToGrid w:val="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平行样测得浓度（mg/L）</w:t>
            </w:r>
          </w:p>
        </w:tc>
        <w:tc>
          <w:tcPr>
            <w:tcW w:w="700" w:type="pct"/>
            <w:tcBorders>
              <w:tl2br w:val="nil"/>
              <w:tr2bl w:val="nil"/>
            </w:tcBorders>
            <w:noWrap/>
            <w:vAlign w:val="center"/>
          </w:tcPr>
          <w:p>
            <w:pPr>
              <w:adjustRightInd w:val="0"/>
              <w:snapToGrid w:val="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原样测得浓度（mg/L）</w:t>
            </w:r>
          </w:p>
        </w:tc>
        <w:tc>
          <w:tcPr>
            <w:tcW w:w="621" w:type="pct"/>
            <w:tcBorders>
              <w:tl2br w:val="nil"/>
              <w:tr2bl w:val="nil"/>
            </w:tcBorders>
            <w:noWrap/>
            <w:vAlign w:val="center"/>
          </w:tcPr>
          <w:p>
            <w:pPr>
              <w:adjustRightInd w:val="0"/>
              <w:snapToGrid w:val="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平均值（mg/L）</w:t>
            </w:r>
          </w:p>
        </w:tc>
        <w:tc>
          <w:tcPr>
            <w:tcW w:w="514" w:type="pct"/>
            <w:tcBorders>
              <w:tl2br w:val="nil"/>
              <w:tr2bl w:val="nil"/>
            </w:tcBorders>
            <w:noWrap/>
            <w:vAlign w:val="center"/>
          </w:tcPr>
          <w:p>
            <w:pPr>
              <w:adjustRightInd w:val="0"/>
              <w:snapToGrid w:val="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相对偏差（%）</w:t>
            </w:r>
          </w:p>
        </w:tc>
        <w:tc>
          <w:tcPr>
            <w:tcW w:w="635" w:type="pct"/>
            <w:tcBorders>
              <w:tl2br w:val="nil"/>
              <w:tr2bl w:val="nil"/>
            </w:tcBorders>
            <w:noWrap/>
            <w:vAlign w:val="center"/>
          </w:tcPr>
          <w:p>
            <w:pPr>
              <w:adjustRightInd w:val="0"/>
              <w:snapToGrid w:val="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允许相对偏差（%）</w:t>
            </w:r>
          </w:p>
        </w:tc>
        <w:tc>
          <w:tcPr>
            <w:tcW w:w="406" w:type="pct"/>
            <w:tcBorders>
              <w:tl2br w:val="nil"/>
              <w:tr2bl w:val="nil"/>
            </w:tcBorders>
            <w:noWrap/>
            <w:vAlign w:val="center"/>
          </w:tcPr>
          <w:p>
            <w:pPr>
              <w:adjustRightInd w:val="0"/>
              <w:snapToGrid w:val="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结果</w:t>
            </w:r>
          </w:p>
          <w:p>
            <w:pPr>
              <w:adjustRightInd w:val="0"/>
              <w:snapToGrid w:val="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评定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0" w:type="pct"/>
            <w:tcBorders>
              <w:tl2br w:val="nil"/>
              <w:tr2bl w:val="nil"/>
            </w:tcBorders>
            <w:noWrap/>
            <w:vAlign w:val="center"/>
          </w:tcPr>
          <w:p>
            <w:pPr>
              <w:adjustRightInd w:val="0"/>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kern w:val="0"/>
                <w:szCs w:val="21"/>
                <w:highlight w:val="none"/>
              </w:rPr>
              <w:t>氨氮</w:t>
            </w:r>
          </w:p>
        </w:tc>
        <w:tc>
          <w:tcPr>
            <w:tcW w:w="838" w:type="pct"/>
            <w:tcBorders>
              <w:tl2br w:val="nil"/>
              <w:tr2bl w:val="nil"/>
            </w:tcBorders>
            <w:noWrap/>
            <w:vAlign w:val="center"/>
          </w:tcPr>
          <w:p>
            <w:pPr>
              <w:widowControl/>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HJ220125-S-2-1-1PN</w:t>
            </w:r>
          </w:p>
        </w:tc>
        <w:tc>
          <w:tcPr>
            <w:tcW w:w="742" w:type="pct"/>
            <w:tcBorders>
              <w:tl2br w:val="nil"/>
              <w:tr2bl w:val="nil"/>
            </w:tcBorders>
            <w:noWrap/>
            <w:vAlign w:val="center"/>
          </w:tcPr>
          <w:p>
            <w:pPr>
              <w:widowControl/>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1.55</w:t>
            </w:r>
          </w:p>
        </w:tc>
        <w:tc>
          <w:tcPr>
            <w:tcW w:w="700" w:type="pct"/>
            <w:tcBorders>
              <w:tl2br w:val="nil"/>
              <w:tr2bl w:val="nil"/>
            </w:tcBorders>
            <w:noWrap/>
            <w:vAlign w:val="center"/>
          </w:tcPr>
          <w:p>
            <w:pPr>
              <w:widowControl/>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1.51</w:t>
            </w:r>
          </w:p>
        </w:tc>
        <w:tc>
          <w:tcPr>
            <w:tcW w:w="621" w:type="pct"/>
            <w:tcBorders>
              <w:tl2br w:val="nil"/>
              <w:tr2bl w:val="nil"/>
            </w:tcBorders>
            <w:noWrap/>
            <w:vAlign w:val="center"/>
          </w:tcPr>
          <w:p>
            <w:pPr>
              <w:widowControl/>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1.53</w:t>
            </w:r>
          </w:p>
        </w:tc>
        <w:tc>
          <w:tcPr>
            <w:tcW w:w="514" w:type="pct"/>
            <w:tcBorders>
              <w:tl2br w:val="nil"/>
              <w:tr2bl w:val="nil"/>
            </w:tcBorders>
            <w:noWrap/>
            <w:vAlign w:val="center"/>
          </w:tcPr>
          <w:p>
            <w:pPr>
              <w:widowControl/>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1.31</w:t>
            </w:r>
          </w:p>
        </w:tc>
        <w:tc>
          <w:tcPr>
            <w:tcW w:w="635" w:type="pct"/>
            <w:tcBorders>
              <w:tl2br w:val="nil"/>
              <w:tr2bl w:val="nil"/>
            </w:tcBorders>
            <w:noWrap/>
            <w:vAlign w:val="center"/>
          </w:tcPr>
          <w:p>
            <w:pPr>
              <w:widowControl/>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≤10</w:t>
            </w:r>
          </w:p>
        </w:tc>
        <w:tc>
          <w:tcPr>
            <w:tcW w:w="406" w:type="pct"/>
            <w:tcBorders>
              <w:tl2br w:val="nil"/>
              <w:tr2bl w:val="nil"/>
            </w:tcBorders>
            <w:noWrap/>
            <w:vAlign w:val="center"/>
          </w:tcPr>
          <w:p>
            <w:pPr>
              <w:widowControl/>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合格</w:t>
            </w:r>
          </w:p>
        </w:tc>
      </w:tr>
    </w:tbl>
    <w:p>
      <w:pPr>
        <w:pStyle w:val="4"/>
        <w:spacing w:before="0" w:after="0" w:line="360" w:lineRule="auto"/>
        <w:rPr>
          <w:rFonts w:ascii="Times New Roman" w:hAnsi="Times New Roman" w:cs="Times New Roman" w:eastAsiaTheme="minorEastAsia"/>
          <w:color w:val="auto"/>
          <w:sz w:val="24"/>
          <w:szCs w:val="24"/>
          <w:highlight w:val="none"/>
        </w:rPr>
      </w:pPr>
      <w:bookmarkStart w:id="70" w:name="_Toc32397"/>
      <w:r>
        <w:rPr>
          <w:rFonts w:ascii="Times New Roman" w:hAnsi="Times New Roman" w:cs="Times New Roman" w:eastAsiaTheme="minorEastAsia"/>
          <w:color w:val="auto"/>
          <w:sz w:val="24"/>
          <w:szCs w:val="24"/>
          <w:highlight w:val="none"/>
        </w:rPr>
        <w:t>8.</w:t>
      </w:r>
      <w:r>
        <w:rPr>
          <w:rFonts w:hint="eastAsia" w:ascii="Times New Roman" w:hAnsi="Times New Roman" w:cs="Times New Roman" w:eastAsiaTheme="minorEastAsia"/>
          <w:color w:val="auto"/>
          <w:sz w:val="24"/>
          <w:szCs w:val="24"/>
          <w:highlight w:val="none"/>
        </w:rPr>
        <w:t>5</w:t>
      </w:r>
      <w:r>
        <w:rPr>
          <w:rFonts w:ascii="Times New Roman" w:hAnsi="Times New Roman" w:cs="Times New Roman" w:eastAsiaTheme="minorEastAsia"/>
          <w:color w:val="auto"/>
          <w:sz w:val="24"/>
          <w:szCs w:val="24"/>
          <w:highlight w:val="none"/>
        </w:rPr>
        <w:t>气体监测分析过程中的质量保证和质量控制</w:t>
      </w:r>
      <w:bookmarkEnd w:id="64"/>
      <w:bookmarkEnd w:id="65"/>
      <w:bookmarkEnd w:id="66"/>
      <w:bookmarkEnd w:id="67"/>
      <w:bookmarkEnd w:id="68"/>
      <w:bookmarkEnd w:id="70"/>
    </w:p>
    <w:p>
      <w:pPr>
        <w:spacing w:line="360" w:lineRule="auto"/>
        <w:ind w:firstLine="480" w:firstLineChars="200"/>
        <w:rPr>
          <w:rFonts w:ascii="Times New Roman" w:hAnsi="Times New Roman" w:cs="Times New Roman"/>
          <w:color w:val="auto"/>
          <w:sz w:val="24"/>
          <w:szCs w:val="24"/>
          <w:highlight w:val="none"/>
        </w:rPr>
      </w:pPr>
      <w:bookmarkStart w:id="71" w:name="_Toc10696"/>
      <w:bookmarkStart w:id="72" w:name="_Toc32210"/>
      <w:bookmarkStart w:id="73" w:name="_Toc18925"/>
      <w:bookmarkStart w:id="74" w:name="_Toc22278"/>
      <w:r>
        <w:rPr>
          <w:rFonts w:ascii="Times New Roman" w:hAnsi="Times New Roman" w:cs="Times New Roman"/>
          <w:color w:val="auto"/>
          <w:sz w:val="24"/>
          <w:szCs w:val="24"/>
          <w:highlight w:val="none"/>
        </w:rPr>
        <w:t>废气监测仪器均符合国家有关标准或技术要求，仪器经计量部门检定合格，并在检定有效期内使用，监测前对使用的仪器均进行浓度和流量校准，按规定对废气测试仪进行现场检漏，采样和分析过程严格按照《固定污染源排气中颗粒物测定与气态污染物采样方法》（GB/T 16157-1996）、《固定污染源监测质量保证与质量控制技术规范（试行）》（HJ/T 373-2007）和《固定源废气监测技术规范》（HJ/T 397-2007）执行。</w:t>
      </w:r>
    </w:p>
    <w:p>
      <w:pPr>
        <w:pStyle w:val="4"/>
        <w:spacing w:before="0" w:after="0" w:line="360" w:lineRule="auto"/>
        <w:rPr>
          <w:rFonts w:ascii="Times New Roman" w:hAnsi="Times New Roman" w:cs="Times New Roman" w:eastAsiaTheme="minorEastAsia"/>
          <w:color w:val="auto"/>
          <w:sz w:val="24"/>
          <w:szCs w:val="24"/>
          <w:highlight w:val="none"/>
        </w:rPr>
      </w:pPr>
      <w:bookmarkStart w:id="75" w:name="_Toc3084"/>
      <w:bookmarkStart w:id="76" w:name="_Toc2634"/>
      <w:r>
        <w:rPr>
          <w:rFonts w:ascii="Times New Roman" w:hAnsi="Times New Roman" w:cs="Times New Roman" w:eastAsiaTheme="minorEastAsia"/>
          <w:color w:val="auto"/>
          <w:sz w:val="24"/>
          <w:szCs w:val="24"/>
          <w:highlight w:val="none"/>
        </w:rPr>
        <w:t>8.</w:t>
      </w:r>
      <w:r>
        <w:rPr>
          <w:rFonts w:hint="eastAsia" w:ascii="Times New Roman" w:hAnsi="Times New Roman" w:cs="Times New Roman" w:eastAsiaTheme="minorEastAsia"/>
          <w:color w:val="auto"/>
          <w:sz w:val="24"/>
          <w:szCs w:val="24"/>
          <w:highlight w:val="none"/>
        </w:rPr>
        <w:t>6</w:t>
      </w:r>
      <w:r>
        <w:rPr>
          <w:rFonts w:ascii="Times New Roman" w:hAnsi="Times New Roman" w:cs="Times New Roman" w:eastAsiaTheme="minorEastAsia"/>
          <w:color w:val="auto"/>
          <w:sz w:val="24"/>
          <w:szCs w:val="24"/>
          <w:highlight w:val="none"/>
        </w:rPr>
        <w:t>噪声监测分析过程中的质量保证和质量控制</w:t>
      </w:r>
      <w:bookmarkEnd w:id="71"/>
      <w:bookmarkEnd w:id="72"/>
      <w:bookmarkEnd w:id="73"/>
      <w:bookmarkEnd w:id="74"/>
      <w:bookmarkEnd w:id="75"/>
      <w:bookmarkEnd w:id="76"/>
    </w:p>
    <w:p>
      <w:pPr>
        <w:adjustRightInd w:val="0"/>
        <w:snapToGrid w:val="0"/>
        <w:spacing w:line="360" w:lineRule="auto"/>
        <w:ind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highlight w:val="none"/>
        </w:rPr>
        <w:t>噪声监测仪器和校准仪器应经计量部门检定合格，并在检定有效期内使用，仪器使用前后必须在现场进行声学校准，</w:t>
      </w:r>
      <w:r>
        <w:rPr>
          <w:rFonts w:ascii="Times New Roman" w:hAnsi="Times New Roman" w:cs="Times New Roman"/>
          <w:color w:val="auto"/>
          <w:sz w:val="24"/>
          <w:szCs w:val="24"/>
          <w:highlight w:val="none"/>
        </w:rPr>
        <w:t>噪声测试校准记录见表8-</w:t>
      </w:r>
      <w:r>
        <w:rPr>
          <w:rFonts w:hint="eastAsia" w:ascii="Times New Roman" w:hAnsi="Times New Roman" w:cs="Times New Roman"/>
          <w:color w:val="auto"/>
          <w:sz w:val="24"/>
          <w:szCs w:val="24"/>
          <w:highlight w:val="none"/>
        </w:rPr>
        <w:t>5</w:t>
      </w:r>
      <w:r>
        <w:rPr>
          <w:rFonts w:ascii="Times New Roman" w:hAnsi="Times New Roman" w:cs="Times New Roman"/>
          <w:color w:val="auto"/>
          <w:sz w:val="24"/>
          <w:szCs w:val="24"/>
          <w:highlight w:val="none"/>
        </w:rPr>
        <w:t>。</w:t>
      </w:r>
    </w:p>
    <w:p>
      <w:pPr>
        <w:spacing w:afterLines="10" w:line="300" w:lineRule="exact"/>
        <w:jc w:val="center"/>
        <w:rPr>
          <w:rFonts w:ascii="Times New Roman" w:hAnsi="Times New Roman" w:cs="Times New Roman"/>
          <w:b/>
          <w:bCs/>
          <w:color w:val="auto"/>
          <w:sz w:val="24"/>
          <w:highlight w:val="none"/>
        </w:rPr>
      </w:pPr>
      <w:r>
        <w:rPr>
          <w:rFonts w:ascii="Times New Roman" w:hAnsi="Times New Roman" w:cs="Times New Roman"/>
          <w:b/>
          <w:bCs/>
          <w:color w:val="auto"/>
          <w:sz w:val="24"/>
          <w:highlight w:val="none"/>
        </w:rPr>
        <w:t>表8-</w:t>
      </w:r>
      <w:r>
        <w:rPr>
          <w:rFonts w:hint="eastAsia" w:ascii="Times New Roman" w:hAnsi="Times New Roman" w:cs="Times New Roman"/>
          <w:b/>
          <w:bCs/>
          <w:color w:val="auto"/>
          <w:sz w:val="24"/>
          <w:highlight w:val="none"/>
        </w:rPr>
        <w:t>5</w:t>
      </w:r>
      <w:r>
        <w:rPr>
          <w:rFonts w:ascii="Times New Roman" w:hAnsi="Times New Roman" w:cs="Times New Roman"/>
          <w:b/>
          <w:bCs/>
          <w:color w:val="auto"/>
          <w:sz w:val="24"/>
          <w:highlight w:val="none"/>
        </w:rPr>
        <w:t xml:space="preserve"> 噪声测试校准记录表</w:t>
      </w:r>
    </w:p>
    <w:tbl>
      <w:tblPr>
        <w:tblStyle w:val="23"/>
        <w:tblW w:w="833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268"/>
        <w:gridCol w:w="1565"/>
        <w:gridCol w:w="1433"/>
        <w:gridCol w:w="1548"/>
        <w:gridCol w:w="1513"/>
        <w:gridCol w:w="10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68" w:type="dxa"/>
            <w:tcBorders>
              <w:tl2br w:val="nil"/>
              <w:tr2bl w:val="nil"/>
            </w:tcBorders>
            <w:tcMar>
              <w:top w:w="15" w:type="dxa"/>
              <w:left w:w="15" w:type="dxa"/>
              <w:bottom w:w="0" w:type="dxa"/>
              <w:right w:w="15" w:type="dxa"/>
            </w:tcMar>
            <w:vAlign w:val="center"/>
          </w:tcPr>
          <w:p>
            <w:pPr>
              <w:jc w:val="center"/>
              <w:rPr>
                <w:rFonts w:ascii="Times New Roman" w:hAnsi="Times New Roman" w:cs="Times New Roman"/>
                <w:b/>
                <w:bCs/>
                <w:color w:val="auto"/>
                <w:kern w:val="0"/>
                <w:szCs w:val="21"/>
                <w:highlight w:val="none"/>
              </w:rPr>
            </w:pPr>
            <w:r>
              <w:rPr>
                <w:rFonts w:ascii="Times New Roman" w:hAnsi="Times New Roman" w:cs="Times New Roman"/>
                <w:b/>
                <w:bCs/>
                <w:color w:val="auto"/>
                <w:kern w:val="0"/>
                <w:szCs w:val="21"/>
                <w:highlight w:val="none"/>
              </w:rPr>
              <w:t>监测日期</w:t>
            </w:r>
          </w:p>
        </w:tc>
        <w:tc>
          <w:tcPr>
            <w:tcW w:w="1565" w:type="dxa"/>
            <w:tcBorders>
              <w:tl2br w:val="nil"/>
              <w:tr2bl w:val="nil"/>
            </w:tcBorders>
            <w:tcMar>
              <w:top w:w="15" w:type="dxa"/>
              <w:left w:w="15" w:type="dxa"/>
              <w:bottom w:w="0" w:type="dxa"/>
              <w:right w:w="15" w:type="dxa"/>
            </w:tcMar>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校准器声级值</w:t>
            </w:r>
          </w:p>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dB（A）</w:t>
            </w:r>
          </w:p>
        </w:tc>
        <w:tc>
          <w:tcPr>
            <w:tcW w:w="1433" w:type="dxa"/>
            <w:tcBorders>
              <w:tl2br w:val="nil"/>
              <w:tr2bl w:val="nil"/>
            </w:tcBorders>
            <w:tcMar>
              <w:top w:w="15" w:type="dxa"/>
              <w:left w:w="15" w:type="dxa"/>
              <w:bottom w:w="0" w:type="dxa"/>
              <w:right w:w="15" w:type="dxa"/>
            </w:tcMar>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测量前校准值</w:t>
            </w:r>
          </w:p>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dB（A）</w:t>
            </w:r>
          </w:p>
        </w:tc>
        <w:tc>
          <w:tcPr>
            <w:tcW w:w="1548" w:type="dxa"/>
            <w:tcBorders>
              <w:tl2br w:val="nil"/>
              <w:tr2bl w:val="nil"/>
            </w:tcBorders>
            <w:tcMar>
              <w:top w:w="15" w:type="dxa"/>
              <w:left w:w="15" w:type="dxa"/>
              <w:bottom w:w="0" w:type="dxa"/>
              <w:right w:w="15" w:type="dxa"/>
            </w:tcMar>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测量后校准值</w:t>
            </w:r>
          </w:p>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dB（A）</w:t>
            </w:r>
          </w:p>
        </w:tc>
        <w:tc>
          <w:tcPr>
            <w:tcW w:w="1513" w:type="dxa"/>
            <w:tcBorders>
              <w:tl2br w:val="nil"/>
              <w:tr2bl w:val="nil"/>
            </w:tcBorders>
            <w:tcMar>
              <w:top w:w="15" w:type="dxa"/>
              <w:left w:w="15" w:type="dxa"/>
              <w:bottom w:w="0" w:type="dxa"/>
              <w:right w:w="15" w:type="dxa"/>
            </w:tcMar>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校准示值偏差</w:t>
            </w:r>
          </w:p>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dB（A）</w:t>
            </w:r>
          </w:p>
        </w:tc>
        <w:tc>
          <w:tcPr>
            <w:tcW w:w="1003" w:type="dxa"/>
            <w:tcBorders>
              <w:tl2br w:val="nil"/>
              <w:tr2bl w:val="nil"/>
            </w:tcBorders>
            <w:tcMar>
              <w:top w:w="15" w:type="dxa"/>
              <w:left w:w="15" w:type="dxa"/>
              <w:bottom w:w="0" w:type="dxa"/>
              <w:right w:w="15" w:type="dxa"/>
            </w:tcMar>
            <w:vAlign w:val="center"/>
          </w:tcPr>
          <w:p>
            <w:pPr>
              <w:adjustRightInd w:val="0"/>
              <w:snapToGrid w:val="0"/>
              <w:jc w:val="center"/>
              <w:rPr>
                <w:rFonts w:ascii="Times New Roman" w:hAnsi="Times New Roman" w:cs="Times New Roman"/>
                <w:b/>
                <w:bCs/>
                <w:color w:val="auto"/>
                <w:highlight w:val="none"/>
              </w:rPr>
            </w:pPr>
            <w:r>
              <w:rPr>
                <w:rFonts w:ascii="Times New Roman" w:hAnsi="Times New Roman" w:cs="Times New Roman"/>
                <w:b/>
                <w:bCs/>
                <w:color w:val="auto"/>
                <w:highlight w:val="none"/>
              </w:rPr>
              <w:t>结果</w:t>
            </w:r>
          </w:p>
          <w:p>
            <w:pPr>
              <w:adjustRightInd w:val="0"/>
              <w:snapToGrid w:val="0"/>
              <w:jc w:val="center"/>
              <w:rPr>
                <w:rFonts w:ascii="Times New Roman" w:hAnsi="Times New Roman" w:cs="Times New Roman"/>
                <w:bCs/>
                <w:color w:val="auto"/>
                <w:szCs w:val="21"/>
                <w:highlight w:val="none"/>
              </w:rPr>
            </w:pPr>
            <w:r>
              <w:rPr>
                <w:rFonts w:ascii="Times New Roman" w:hAnsi="Times New Roman" w:cs="Times New Roman"/>
                <w:b/>
                <w:bCs/>
                <w:color w:val="auto"/>
                <w:highlight w:val="none"/>
              </w:rPr>
              <w:t>评定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68" w:type="dxa"/>
            <w:tcBorders>
              <w:tl2br w:val="nil"/>
              <w:tr2bl w:val="nil"/>
            </w:tcBorders>
            <w:tcMar>
              <w:top w:w="15" w:type="dxa"/>
              <w:left w:w="15" w:type="dxa"/>
              <w:bottom w:w="0" w:type="dxa"/>
              <w:right w:w="15" w:type="dxa"/>
            </w:tcMar>
            <w:vAlign w:val="center"/>
          </w:tcPr>
          <w:p>
            <w:pPr>
              <w:spacing w:line="276" w:lineRule="auto"/>
              <w:jc w:val="center"/>
              <w:rPr>
                <w:rFonts w:ascii="Times New Roman" w:hAnsi="Times New Roman" w:cs="Times New Roman"/>
                <w:color w:val="auto"/>
                <w:kern w:val="0"/>
                <w:szCs w:val="21"/>
                <w:highlight w:val="none"/>
              </w:rPr>
            </w:pPr>
            <w:r>
              <w:rPr>
                <w:rFonts w:hint="eastAsia" w:ascii="Times New Roman" w:hAnsi="Times New Roman" w:cs="Times New Roman"/>
                <w:color w:val="auto"/>
                <w:kern w:val="0"/>
                <w:szCs w:val="21"/>
                <w:highlight w:val="none"/>
                <w:lang w:bidi="zh-CN"/>
              </w:rPr>
              <w:t>2022-01-11</w:t>
            </w:r>
          </w:p>
        </w:tc>
        <w:tc>
          <w:tcPr>
            <w:tcW w:w="1565" w:type="dxa"/>
            <w:tcBorders>
              <w:tl2br w:val="nil"/>
              <w:tr2bl w:val="nil"/>
            </w:tcBorders>
            <w:tcMar>
              <w:top w:w="15" w:type="dxa"/>
              <w:left w:w="15" w:type="dxa"/>
              <w:bottom w:w="0" w:type="dxa"/>
              <w:right w:w="15" w:type="dxa"/>
            </w:tcMar>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94.0</w:t>
            </w:r>
          </w:p>
        </w:tc>
        <w:tc>
          <w:tcPr>
            <w:tcW w:w="1433" w:type="dxa"/>
            <w:tcBorders>
              <w:tl2br w:val="nil"/>
              <w:tr2bl w:val="nil"/>
            </w:tcBorders>
            <w:tcMar>
              <w:top w:w="15" w:type="dxa"/>
              <w:left w:w="15" w:type="dxa"/>
              <w:bottom w:w="0" w:type="dxa"/>
              <w:right w:w="15" w:type="dxa"/>
            </w:tcMar>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93.8</w:t>
            </w:r>
          </w:p>
        </w:tc>
        <w:tc>
          <w:tcPr>
            <w:tcW w:w="1548" w:type="dxa"/>
            <w:tcBorders>
              <w:tl2br w:val="nil"/>
              <w:tr2bl w:val="nil"/>
            </w:tcBorders>
            <w:tcMar>
              <w:top w:w="15" w:type="dxa"/>
              <w:left w:w="15" w:type="dxa"/>
              <w:bottom w:w="0" w:type="dxa"/>
              <w:right w:w="15" w:type="dxa"/>
            </w:tcMar>
            <w:vAlign w:val="center"/>
          </w:tcPr>
          <w:p>
            <w:pPr>
              <w:jc w:val="center"/>
              <w:rPr>
                <w:rFonts w:ascii="Times New Roman" w:hAnsi="Times New Roman" w:cs="Times New Roman"/>
                <w:bCs/>
                <w:color w:val="auto"/>
                <w:szCs w:val="21"/>
                <w:highlight w:val="none"/>
              </w:rPr>
            </w:pPr>
            <w:r>
              <w:rPr>
                <w:rFonts w:ascii="Times New Roman" w:hAnsi="Times New Roman" w:cs="Times New Roman"/>
                <w:color w:val="auto"/>
                <w:szCs w:val="21"/>
                <w:highlight w:val="none"/>
              </w:rPr>
              <w:t>93.8</w:t>
            </w:r>
          </w:p>
        </w:tc>
        <w:tc>
          <w:tcPr>
            <w:tcW w:w="1513" w:type="dxa"/>
            <w:vMerge w:val="restart"/>
            <w:tcBorders>
              <w:tl2br w:val="nil"/>
              <w:tr2bl w:val="nil"/>
            </w:tcBorders>
            <w:tcMar>
              <w:top w:w="15" w:type="dxa"/>
              <w:left w:w="15" w:type="dxa"/>
              <w:bottom w:w="0" w:type="dxa"/>
              <w:right w:w="15" w:type="dxa"/>
            </w:tcMar>
            <w:vAlign w:val="center"/>
          </w:tcPr>
          <w:p>
            <w:pPr>
              <w:jc w:val="center"/>
              <w:rPr>
                <w:rFonts w:ascii="Times New Roman" w:hAnsi="Times New Roman" w:cs="Times New Roman"/>
                <w:bCs/>
                <w:color w:val="auto"/>
                <w:szCs w:val="21"/>
                <w:highlight w:val="none"/>
              </w:rPr>
            </w:pPr>
            <w:r>
              <w:rPr>
                <w:rFonts w:ascii="Times New Roman" w:hAnsi="Times New Roman" w:cs="Times New Roman"/>
                <w:color w:val="auto"/>
                <w:szCs w:val="21"/>
                <w:highlight w:val="none"/>
              </w:rPr>
              <w:t>≤</w:t>
            </w:r>
            <w:r>
              <w:rPr>
                <w:rFonts w:ascii="Times New Roman" w:hAnsi="Times New Roman" w:cs="Times New Roman"/>
                <w:bCs/>
                <w:color w:val="auto"/>
                <w:szCs w:val="21"/>
                <w:highlight w:val="none"/>
              </w:rPr>
              <w:t>0.5</w:t>
            </w:r>
          </w:p>
        </w:tc>
        <w:tc>
          <w:tcPr>
            <w:tcW w:w="1003" w:type="dxa"/>
            <w:tcBorders>
              <w:tl2br w:val="nil"/>
              <w:tr2bl w:val="nil"/>
            </w:tcBorders>
            <w:tcMar>
              <w:top w:w="15" w:type="dxa"/>
              <w:left w:w="15" w:type="dxa"/>
              <w:bottom w:w="0" w:type="dxa"/>
              <w:right w:w="15" w:type="dxa"/>
            </w:tcMar>
            <w:vAlign w:val="center"/>
          </w:tcPr>
          <w:p>
            <w:pPr>
              <w:widowControl/>
              <w:jc w:val="center"/>
              <w:rPr>
                <w:rFonts w:ascii="Times New Roman" w:hAnsi="Times New Roman" w:cs="Times New Roman"/>
                <w:bCs/>
                <w:color w:val="auto"/>
                <w:szCs w:val="21"/>
                <w:highlight w:val="none"/>
              </w:rPr>
            </w:pPr>
            <w:r>
              <w:rPr>
                <w:rFonts w:ascii="Times New Roman" w:hAnsi="Times New Roman" w:cs="Times New Roman"/>
                <w:color w:val="auto"/>
                <w:highlight w:val="none"/>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68" w:type="dxa"/>
            <w:tcBorders>
              <w:tl2br w:val="nil"/>
              <w:tr2bl w:val="nil"/>
            </w:tcBorders>
            <w:tcMar>
              <w:top w:w="15" w:type="dxa"/>
              <w:left w:w="15" w:type="dxa"/>
              <w:bottom w:w="0" w:type="dxa"/>
              <w:right w:w="15" w:type="dxa"/>
            </w:tcMar>
            <w:vAlign w:val="center"/>
          </w:tcPr>
          <w:p>
            <w:pPr>
              <w:spacing w:line="276" w:lineRule="auto"/>
              <w:jc w:val="center"/>
              <w:rPr>
                <w:rFonts w:ascii="Times New Roman" w:hAnsi="Times New Roman" w:cs="Times New Roman"/>
                <w:color w:val="auto"/>
                <w:kern w:val="0"/>
                <w:szCs w:val="21"/>
                <w:highlight w:val="none"/>
              </w:rPr>
            </w:pPr>
            <w:r>
              <w:rPr>
                <w:rFonts w:hint="eastAsia" w:ascii="Times New Roman" w:hAnsi="Times New Roman" w:cs="Times New Roman"/>
                <w:color w:val="auto"/>
                <w:kern w:val="0"/>
                <w:szCs w:val="21"/>
                <w:highlight w:val="none"/>
                <w:lang w:bidi="zh-CN"/>
              </w:rPr>
              <w:t>2022-01-12</w:t>
            </w:r>
          </w:p>
        </w:tc>
        <w:tc>
          <w:tcPr>
            <w:tcW w:w="1565" w:type="dxa"/>
            <w:tcBorders>
              <w:tl2br w:val="nil"/>
              <w:tr2bl w:val="nil"/>
            </w:tcBorders>
            <w:tcMar>
              <w:top w:w="15" w:type="dxa"/>
              <w:left w:w="15" w:type="dxa"/>
              <w:bottom w:w="0" w:type="dxa"/>
              <w:right w:w="15" w:type="dxa"/>
            </w:tcMar>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94.0</w:t>
            </w:r>
          </w:p>
        </w:tc>
        <w:tc>
          <w:tcPr>
            <w:tcW w:w="1433" w:type="dxa"/>
            <w:tcBorders>
              <w:tl2br w:val="nil"/>
              <w:tr2bl w:val="nil"/>
            </w:tcBorders>
            <w:tcMar>
              <w:top w:w="15" w:type="dxa"/>
              <w:left w:w="15" w:type="dxa"/>
              <w:bottom w:w="0" w:type="dxa"/>
              <w:right w:w="15" w:type="dxa"/>
            </w:tcMar>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93.8</w:t>
            </w:r>
          </w:p>
        </w:tc>
        <w:tc>
          <w:tcPr>
            <w:tcW w:w="1548" w:type="dxa"/>
            <w:tcBorders>
              <w:tl2br w:val="nil"/>
              <w:tr2bl w:val="nil"/>
            </w:tcBorders>
            <w:tcMar>
              <w:top w:w="15" w:type="dxa"/>
              <w:left w:w="15" w:type="dxa"/>
              <w:bottom w:w="0" w:type="dxa"/>
              <w:right w:w="15" w:type="dxa"/>
            </w:tcMar>
            <w:vAlign w:val="center"/>
          </w:tcPr>
          <w:p>
            <w:pPr>
              <w:jc w:val="center"/>
              <w:rPr>
                <w:rFonts w:ascii="Times New Roman" w:hAnsi="Times New Roman" w:cs="Times New Roman"/>
                <w:bCs/>
                <w:color w:val="auto"/>
                <w:szCs w:val="21"/>
                <w:highlight w:val="none"/>
              </w:rPr>
            </w:pPr>
            <w:r>
              <w:rPr>
                <w:rFonts w:ascii="Times New Roman" w:hAnsi="Times New Roman" w:cs="Times New Roman"/>
                <w:color w:val="auto"/>
                <w:szCs w:val="21"/>
                <w:highlight w:val="none"/>
              </w:rPr>
              <w:t>93.8</w:t>
            </w:r>
          </w:p>
        </w:tc>
        <w:tc>
          <w:tcPr>
            <w:tcW w:w="1513" w:type="dxa"/>
            <w:vMerge w:val="continue"/>
            <w:tcBorders>
              <w:tl2br w:val="nil"/>
              <w:tr2bl w:val="nil"/>
            </w:tcBorders>
            <w:tcMar>
              <w:top w:w="15" w:type="dxa"/>
              <w:left w:w="15" w:type="dxa"/>
              <w:bottom w:w="0" w:type="dxa"/>
              <w:right w:w="15" w:type="dxa"/>
            </w:tcMar>
            <w:vAlign w:val="center"/>
          </w:tcPr>
          <w:p>
            <w:pPr>
              <w:jc w:val="center"/>
              <w:rPr>
                <w:rFonts w:ascii="Times New Roman" w:hAnsi="Times New Roman" w:cs="Times New Roman"/>
                <w:bCs/>
                <w:color w:val="auto"/>
                <w:szCs w:val="21"/>
                <w:highlight w:val="none"/>
              </w:rPr>
            </w:pPr>
          </w:p>
        </w:tc>
        <w:tc>
          <w:tcPr>
            <w:tcW w:w="1003" w:type="dxa"/>
            <w:tcBorders>
              <w:tl2br w:val="nil"/>
              <w:tr2bl w:val="nil"/>
            </w:tcBorders>
            <w:tcMar>
              <w:top w:w="15" w:type="dxa"/>
              <w:left w:w="15" w:type="dxa"/>
              <w:bottom w:w="0" w:type="dxa"/>
              <w:right w:w="15" w:type="dxa"/>
            </w:tcMar>
            <w:vAlign w:val="center"/>
          </w:tcPr>
          <w:p>
            <w:pPr>
              <w:widowControl/>
              <w:jc w:val="center"/>
              <w:rPr>
                <w:rFonts w:ascii="Times New Roman" w:hAnsi="Times New Roman" w:cs="Times New Roman"/>
                <w:bCs/>
                <w:color w:val="auto"/>
                <w:szCs w:val="21"/>
                <w:highlight w:val="none"/>
              </w:rPr>
            </w:pPr>
            <w:r>
              <w:rPr>
                <w:rFonts w:ascii="Times New Roman" w:hAnsi="Times New Roman" w:cs="Times New Roman"/>
                <w:color w:val="auto"/>
                <w:highlight w:val="none"/>
              </w:rPr>
              <w:t>合格</w:t>
            </w:r>
          </w:p>
        </w:tc>
      </w:tr>
    </w:tbl>
    <w:p>
      <w:pPr>
        <w:spacing w:line="360" w:lineRule="auto"/>
        <w:ind w:firstLine="480" w:firstLineChars="200"/>
        <w:rPr>
          <w:rFonts w:ascii="Times New Roman" w:hAnsi="Times New Roman" w:cs="Times New Roman"/>
          <w:bCs/>
          <w:color w:val="auto"/>
          <w:sz w:val="24"/>
          <w:szCs w:val="24"/>
          <w:highlight w:val="none"/>
        </w:rPr>
        <w:sectPr>
          <w:pgSz w:w="11906" w:h="16838"/>
          <w:pgMar w:top="1440" w:right="1803" w:bottom="1440" w:left="1803" w:header="680" w:footer="992" w:gutter="0"/>
          <w:pgBorders>
            <w:top w:val="none" w:sz="0" w:space="0"/>
            <w:left w:val="none" w:sz="0" w:space="0"/>
            <w:bottom w:val="none" w:sz="0" w:space="0"/>
            <w:right w:val="none" w:sz="0" w:space="0"/>
          </w:pgBorders>
          <w:cols w:space="0" w:num="1"/>
          <w:docGrid w:type="lines" w:linePitch="312" w:charSpace="0"/>
        </w:sectPr>
      </w:pPr>
    </w:p>
    <w:p>
      <w:pPr>
        <w:pStyle w:val="3"/>
        <w:spacing w:before="0" w:after="0" w:line="360" w:lineRule="auto"/>
        <w:jc w:val="left"/>
        <w:rPr>
          <w:rFonts w:ascii="Times New Roman" w:hAnsi="Times New Roman" w:cs="Times New Roman"/>
          <w:color w:val="auto"/>
          <w:sz w:val="28"/>
          <w:szCs w:val="28"/>
          <w:highlight w:val="none"/>
        </w:rPr>
      </w:pPr>
      <w:bookmarkStart w:id="77" w:name="_Toc17140"/>
      <w:r>
        <w:rPr>
          <w:rFonts w:ascii="Times New Roman" w:hAnsi="Times New Roman" w:cs="Times New Roman"/>
          <w:color w:val="auto"/>
          <w:sz w:val="28"/>
          <w:szCs w:val="28"/>
          <w:highlight w:val="none"/>
        </w:rPr>
        <w:t>9、验收监测结果</w:t>
      </w:r>
      <w:bookmarkEnd w:id="77"/>
    </w:p>
    <w:p>
      <w:pPr>
        <w:pStyle w:val="4"/>
        <w:spacing w:before="0" w:after="0" w:line="360" w:lineRule="auto"/>
        <w:rPr>
          <w:rFonts w:ascii="Times New Roman" w:hAnsi="Times New Roman" w:cs="Times New Roman" w:eastAsiaTheme="minorEastAsia"/>
          <w:color w:val="auto"/>
          <w:sz w:val="24"/>
          <w:szCs w:val="24"/>
          <w:highlight w:val="none"/>
        </w:rPr>
      </w:pPr>
      <w:bookmarkStart w:id="78" w:name="_Toc7424"/>
      <w:r>
        <w:rPr>
          <w:rFonts w:ascii="Times New Roman" w:hAnsi="Times New Roman" w:cs="Times New Roman" w:eastAsiaTheme="minorEastAsia"/>
          <w:color w:val="auto"/>
          <w:sz w:val="24"/>
          <w:szCs w:val="24"/>
          <w:highlight w:val="none"/>
        </w:rPr>
        <w:t>9.1生产工况</w:t>
      </w:r>
      <w:bookmarkEnd w:id="78"/>
    </w:p>
    <w:p>
      <w:pPr>
        <w:pStyle w:val="39"/>
        <w:spacing w:before="0" w:line="360" w:lineRule="auto"/>
        <w:rPr>
          <w:rFonts w:ascii="Times New Roman" w:hAnsi="Times New Roman" w:cs="Times New Roman" w:eastAsiaTheme="minorEastAsia"/>
          <w:color w:val="auto"/>
          <w:highlight w:val="none"/>
        </w:rPr>
      </w:pPr>
      <w:r>
        <w:rPr>
          <w:rFonts w:ascii="Times New Roman" w:hAnsi="Times New Roman" w:cs="Times New Roman" w:eastAsiaTheme="minorEastAsia"/>
          <w:color w:val="auto"/>
          <w:highlight w:val="none"/>
        </w:rPr>
        <w:t>根据企业提供的相关资料（见附件</w:t>
      </w:r>
      <w:r>
        <w:rPr>
          <w:rFonts w:hint="eastAsia" w:ascii="Times New Roman" w:hAnsi="Times New Roman" w:cs="Times New Roman" w:eastAsiaTheme="minorEastAsia"/>
          <w:color w:val="auto"/>
          <w:highlight w:val="none"/>
        </w:rPr>
        <w:t>二</w:t>
      </w:r>
      <w:r>
        <w:rPr>
          <w:rFonts w:ascii="Times New Roman" w:hAnsi="Times New Roman" w:cs="Times New Roman" w:eastAsiaTheme="minorEastAsia"/>
          <w:color w:val="auto"/>
          <w:highlight w:val="none"/>
        </w:rPr>
        <w:t>）及现场调查，验收监测期间（</w:t>
      </w:r>
      <w:r>
        <w:rPr>
          <w:rFonts w:hint="eastAsia" w:ascii="Times New Roman" w:hAnsi="Times New Roman" w:cs="Times New Roman" w:eastAsiaTheme="minorEastAsia"/>
          <w:color w:val="auto"/>
          <w:highlight w:val="none"/>
          <w:lang w:eastAsia="zh-CN"/>
        </w:rPr>
        <w:t>2022年1月11日~1月12日、2022年</w:t>
      </w:r>
      <w:r>
        <w:rPr>
          <w:rFonts w:hint="eastAsia" w:ascii="Times New Roman" w:hAnsi="Times New Roman" w:cs="Times New Roman" w:eastAsiaTheme="minorEastAsia"/>
          <w:color w:val="auto"/>
          <w:highlight w:val="none"/>
          <w:lang w:val="en-US" w:eastAsia="zh-CN"/>
        </w:rPr>
        <w:t>2</w:t>
      </w:r>
      <w:r>
        <w:rPr>
          <w:rFonts w:hint="eastAsia" w:ascii="Times New Roman" w:hAnsi="Times New Roman" w:cs="Times New Roman" w:eastAsiaTheme="minorEastAsia"/>
          <w:color w:val="auto"/>
          <w:highlight w:val="none"/>
          <w:lang w:eastAsia="zh-CN"/>
        </w:rPr>
        <w:t>月</w:t>
      </w:r>
      <w:r>
        <w:rPr>
          <w:rFonts w:hint="eastAsia" w:ascii="Times New Roman" w:hAnsi="Times New Roman" w:cs="Times New Roman" w:eastAsiaTheme="minorEastAsia"/>
          <w:color w:val="auto"/>
          <w:highlight w:val="none"/>
          <w:lang w:val="en-US" w:eastAsia="zh-CN"/>
        </w:rPr>
        <w:t>22</w:t>
      </w:r>
      <w:r>
        <w:rPr>
          <w:rFonts w:hint="eastAsia" w:ascii="Times New Roman" w:hAnsi="Times New Roman" w:cs="Times New Roman" w:eastAsiaTheme="minorEastAsia"/>
          <w:color w:val="auto"/>
          <w:highlight w:val="none"/>
          <w:lang w:eastAsia="zh-CN"/>
        </w:rPr>
        <w:t>日~</w:t>
      </w:r>
      <w:r>
        <w:rPr>
          <w:rFonts w:hint="eastAsia" w:ascii="Times New Roman" w:hAnsi="Times New Roman" w:cs="Times New Roman" w:eastAsiaTheme="minorEastAsia"/>
          <w:color w:val="auto"/>
          <w:highlight w:val="none"/>
          <w:lang w:val="en-US" w:eastAsia="zh-CN"/>
        </w:rPr>
        <w:t>2</w:t>
      </w:r>
      <w:r>
        <w:rPr>
          <w:rFonts w:hint="eastAsia" w:ascii="Times New Roman" w:hAnsi="Times New Roman" w:cs="Times New Roman" w:eastAsiaTheme="minorEastAsia"/>
          <w:color w:val="auto"/>
          <w:highlight w:val="none"/>
          <w:lang w:eastAsia="zh-CN"/>
        </w:rPr>
        <w:t>月</w:t>
      </w:r>
      <w:r>
        <w:rPr>
          <w:rFonts w:hint="eastAsia" w:ascii="Times New Roman" w:hAnsi="Times New Roman" w:cs="Times New Roman" w:eastAsiaTheme="minorEastAsia"/>
          <w:color w:val="auto"/>
          <w:highlight w:val="none"/>
          <w:lang w:val="en-US" w:eastAsia="zh-CN"/>
        </w:rPr>
        <w:t>23</w:t>
      </w:r>
      <w:r>
        <w:rPr>
          <w:rFonts w:hint="eastAsia" w:ascii="Times New Roman" w:hAnsi="Times New Roman" w:cs="Times New Roman" w:eastAsiaTheme="minorEastAsia"/>
          <w:color w:val="auto"/>
          <w:highlight w:val="none"/>
          <w:lang w:eastAsia="zh-CN"/>
        </w:rPr>
        <w:t>日</w:t>
      </w:r>
      <w:r>
        <w:rPr>
          <w:rFonts w:ascii="Times New Roman" w:hAnsi="Times New Roman" w:cs="Times New Roman" w:eastAsiaTheme="minorEastAsia"/>
          <w:color w:val="auto"/>
          <w:highlight w:val="none"/>
        </w:rPr>
        <w:t>），企业实际生产负荷符合验收监测的工况要求，验收监测期间生产工况见表9-1。</w:t>
      </w:r>
    </w:p>
    <w:p>
      <w:pPr>
        <w:pStyle w:val="39"/>
        <w:spacing w:before="0" w:line="360" w:lineRule="auto"/>
        <w:ind w:firstLineChars="0"/>
        <w:jc w:val="center"/>
        <w:rPr>
          <w:rFonts w:ascii="Times New Roman" w:hAnsi="Times New Roman" w:cs="Times New Roman" w:eastAsiaTheme="minorEastAsia"/>
          <w:b/>
          <w:color w:val="auto"/>
          <w:highlight w:val="none"/>
        </w:rPr>
      </w:pPr>
      <w:r>
        <w:rPr>
          <w:rFonts w:ascii="Times New Roman" w:hAnsi="Times New Roman" w:cs="Times New Roman" w:eastAsiaTheme="minorEastAsia"/>
          <w:b/>
          <w:color w:val="auto"/>
          <w:highlight w:val="none"/>
        </w:rPr>
        <w:t>表9-1</w:t>
      </w:r>
      <w:r>
        <w:rPr>
          <w:rFonts w:ascii="Times New Roman" w:hAnsi="Times New Roman" w:cs="Times New Roman" w:eastAsiaTheme="minorEastAsia"/>
          <w:b/>
          <w:bCs/>
          <w:color w:val="auto"/>
          <w:highlight w:val="none"/>
        </w:rPr>
        <w:t>监测期间主导产品生产负荷情况表</w:t>
      </w:r>
    </w:p>
    <w:tbl>
      <w:tblPr>
        <w:tblStyle w:val="24"/>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5"/>
        <w:gridCol w:w="1185"/>
        <w:gridCol w:w="1260"/>
        <w:gridCol w:w="1245"/>
        <w:gridCol w:w="1260"/>
        <w:gridCol w:w="1260"/>
        <w:gridCol w:w="12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5" w:type="dxa"/>
            <w:vMerge w:val="restart"/>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主导产品名称</w:t>
            </w:r>
          </w:p>
        </w:tc>
        <w:tc>
          <w:tcPr>
            <w:tcW w:w="1185" w:type="dxa"/>
            <w:vMerge w:val="restart"/>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批复</w:t>
            </w:r>
          </w:p>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年产量</w:t>
            </w:r>
          </w:p>
        </w:tc>
        <w:tc>
          <w:tcPr>
            <w:tcW w:w="1260" w:type="dxa"/>
            <w:vMerge w:val="restart"/>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折合</w:t>
            </w:r>
          </w:p>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日产量</w:t>
            </w:r>
          </w:p>
        </w:tc>
        <w:tc>
          <w:tcPr>
            <w:tcW w:w="2505" w:type="dxa"/>
            <w:gridSpan w:val="2"/>
            <w:tcBorders>
              <w:tl2br w:val="nil"/>
              <w:tr2bl w:val="nil"/>
            </w:tcBorders>
            <w:vAlign w:val="center"/>
          </w:tcPr>
          <w:p>
            <w:pPr>
              <w:jc w:val="center"/>
              <w:rPr>
                <w:rFonts w:hint="eastAsia" w:ascii="Times New Roman" w:hAnsi="Times New Roman" w:cs="Times New Roman" w:eastAsiaTheme="minorEastAsia"/>
                <w:b/>
                <w:bCs/>
                <w:color w:val="auto"/>
                <w:szCs w:val="21"/>
                <w:highlight w:val="none"/>
                <w:lang w:eastAsia="zh-CN"/>
              </w:rPr>
            </w:pPr>
            <w:r>
              <w:rPr>
                <w:rFonts w:hint="eastAsia" w:ascii="Times New Roman" w:hAnsi="Times New Roman" w:cs="Times New Roman"/>
                <w:b/>
                <w:bCs/>
                <w:color w:val="auto"/>
                <w:szCs w:val="21"/>
                <w:highlight w:val="none"/>
                <w:lang w:eastAsia="zh-CN"/>
              </w:rPr>
              <w:t>2022年1月11日</w:t>
            </w:r>
          </w:p>
        </w:tc>
        <w:tc>
          <w:tcPr>
            <w:tcW w:w="2467" w:type="dxa"/>
            <w:gridSpan w:val="2"/>
            <w:tcBorders>
              <w:tl2br w:val="nil"/>
              <w:tr2bl w:val="nil"/>
            </w:tcBorders>
            <w:vAlign w:val="center"/>
          </w:tcPr>
          <w:p>
            <w:pPr>
              <w:jc w:val="center"/>
              <w:rPr>
                <w:rFonts w:hint="eastAsia" w:ascii="Times New Roman" w:hAnsi="Times New Roman" w:cs="Times New Roman" w:eastAsiaTheme="minorEastAsia"/>
                <w:b/>
                <w:bCs/>
                <w:color w:val="auto"/>
                <w:szCs w:val="21"/>
                <w:highlight w:val="none"/>
                <w:lang w:eastAsia="zh-CN"/>
              </w:rPr>
            </w:pPr>
            <w:r>
              <w:rPr>
                <w:rFonts w:hint="eastAsia" w:ascii="Times New Roman" w:hAnsi="Times New Roman" w:cs="Times New Roman"/>
                <w:b/>
                <w:bCs/>
                <w:color w:val="auto"/>
                <w:szCs w:val="21"/>
                <w:highlight w:val="none"/>
                <w:lang w:eastAsia="zh-CN"/>
              </w:rPr>
              <w:t>2022年1月12日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5" w:type="dxa"/>
            <w:vMerge w:val="continue"/>
            <w:tcBorders>
              <w:tl2br w:val="nil"/>
              <w:tr2bl w:val="nil"/>
            </w:tcBorders>
            <w:vAlign w:val="center"/>
          </w:tcPr>
          <w:p>
            <w:pPr>
              <w:jc w:val="center"/>
              <w:rPr>
                <w:rFonts w:ascii="Times New Roman" w:hAnsi="Times New Roman" w:cs="Times New Roman"/>
                <w:b/>
                <w:bCs/>
                <w:color w:val="auto"/>
                <w:szCs w:val="21"/>
                <w:highlight w:val="none"/>
              </w:rPr>
            </w:pPr>
          </w:p>
        </w:tc>
        <w:tc>
          <w:tcPr>
            <w:tcW w:w="1185" w:type="dxa"/>
            <w:vMerge w:val="continue"/>
            <w:tcBorders>
              <w:tl2br w:val="nil"/>
              <w:tr2bl w:val="nil"/>
            </w:tcBorders>
            <w:vAlign w:val="center"/>
          </w:tcPr>
          <w:p>
            <w:pPr>
              <w:jc w:val="center"/>
              <w:rPr>
                <w:rFonts w:ascii="Times New Roman" w:hAnsi="Times New Roman" w:cs="Times New Roman"/>
                <w:b/>
                <w:bCs/>
                <w:color w:val="auto"/>
                <w:szCs w:val="21"/>
                <w:highlight w:val="none"/>
              </w:rPr>
            </w:pPr>
          </w:p>
        </w:tc>
        <w:tc>
          <w:tcPr>
            <w:tcW w:w="1260" w:type="dxa"/>
            <w:vMerge w:val="continue"/>
            <w:tcBorders>
              <w:tl2br w:val="nil"/>
              <w:tr2bl w:val="nil"/>
            </w:tcBorders>
            <w:vAlign w:val="center"/>
          </w:tcPr>
          <w:p>
            <w:pPr>
              <w:jc w:val="center"/>
              <w:rPr>
                <w:rFonts w:ascii="Times New Roman" w:hAnsi="Times New Roman" w:cs="Times New Roman"/>
                <w:b/>
                <w:bCs/>
                <w:color w:val="auto"/>
                <w:szCs w:val="21"/>
                <w:highlight w:val="none"/>
              </w:rPr>
            </w:pPr>
          </w:p>
        </w:tc>
        <w:tc>
          <w:tcPr>
            <w:tcW w:w="1245" w:type="dxa"/>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实际量</w:t>
            </w:r>
          </w:p>
        </w:tc>
        <w:tc>
          <w:tcPr>
            <w:tcW w:w="1260" w:type="dxa"/>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生产负荷</w:t>
            </w:r>
          </w:p>
        </w:tc>
        <w:tc>
          <w:tcPr>
            <w:tcW w:w="1260" w:type="dxa"/>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实际量</w:t>
            </w:r>
          </w:p>
        </w:tc>
        <w:tc>
          <w:tcPr>
            <w:tcW w:w="1207" w:type="dxa"/>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生产负荷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5" w:type="dxa"/>
            <w:tcBorders>
              <w:tl2br w:val="nil"/>
              <w:tr2bl w:val="nil"/>
            </w:tcBorders>
            <w:vAlign w:val="center"/>
          </w:tcPr>
          <w:p>
            <w:pPr>
              <w:spacing w:line="240" w:lineRule="exact"/>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cs="Times New Roman"/>
                <w:color w:val="auto"/>
                <w:highlight w:val="none"/>
                <w:lang w:eastAsia="zh-CN"/>
              </w:rPr>
              <w:t>回收拆除报废汽车</w:t>
            </w:r>
          </w:p>
        </w:tc>
        <w:tc>
          <w:tcPr>
            <w:tcW w:w="1185" w:type="dxa"/>
            <w:tcBorders>
              <w:tl2br w:val="nil"/>
              <w:tr2bl w:val="nil"/>
            </w:tcBorders>
            <w:vAlign w:val="center"/>
          </w:tcPr>
          <w:p>
            <w:pPr>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cs="Times New Roman"/>
                <w:color w:val="auto"/>
                <w:szCs w:val="21"/>
                <w:highlight w:val="none"/>
                <w:lang w:val="en-US" w:eastAsia="zh-CN"/>
              </w:rPr>
              <w:t>3万台</w:t>
            </w:r>
          </w:p>
        </w:tc>
        <w:tc>
          <w:tcPr>
            <w:tcW w:w="1260" w:type="dxa"/>
            <w:tcBorders>
              <w:tl2br w:val="nil"/>
              <w:tr2bl w:val="nil"/>
            </w:tcBorders>
            <w:vAlign w:val="center"/>
          </w:tcPr>
          <w:p>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100台</w:t>
            </w:r>
          </w:p>
        </w:tc>
        <w:tc>
          <w:tcPr>
            <w:tcW w:w="1245" w:type="dxa"/>
            <w:tcBorders>
              <w:tl2br w:val="nil"/>
              <w:tr2bl w:val="nil"/>
            </w:tcBorders>
            <w:vAlign w:val="center"/>
          </w:tcPr>
          <w:p>
            <w:pPr>
              <w:jc w:val="center"/>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90台</w:t>
            </w:r>
          </w:p>
        </w:tc>
        <w:tc>
          <w:tcPr>
            <w:tcW w:w="1260" w:type="dxa"/>
            <w:tcBorders>
              <w:tl2br w:val="nil"/>
              <w:tr2bl w:val="nil"/>
            </w:tcBorders>
            <w:vAlign w:val="center"/>
          </w:tcPr>
          <w:p>
            <w:pPr>
              <w:jc w:val="center"/>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90%</w:t>
            </w:r>
          </w:p>
        </w:tc>
        <w:tc>
          <w:tcPr>
            <w:tcW w:w="1260" w:type="dxa"/>
            <w:tcBorders>
              <w:tl2br w:val="nil"/>
              <w:tr2bl w:val="nil"/>
            </w:tcBorders>
            <w:vAlign w:val="center"/>
          </w:tcPr>
          <w:p>
            <w:pPr>
              <w:jc w:val="center"/>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85台</w:t>
            </w:r>
          </w:p>
        </w:tc>
        <w:tc>
          <w:tcPr>
            <w:tcW w:w="1207" w:type="dxa"/>
            <w:tcBorders>
              <w:tl2br w:val="nil"/>
              <w:tr2bl w:val="nil"/>
            </w:tcBorders>
            <w:vAlign w:val="center"/>
          </w:tcPr>
          <w:p>
            <w:pPr>
              <w:jc w:val="center"/>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5" w:type="dxa"/>
            <w:vMerge w:val="restart"/>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主导产品名称</w:t>
            </w:r>
          </w:p>
        </w:tc>
        <w:tc>
          <w:tcPr>
            <w:tcW w:w="1185" w:type="dxa"/>
            <w:vMerge w:val="restart"/>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批复</w:t>
            </w:r>
          </w:p>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年产量</w:t>
            </w:r>
          </w:p>
        </w:tc>
        <w:tc>
          <w:tcPr>
            <w:tcW w:w="1260" w:type="dxa"/>
            <w:vMerge w:val="restart"/>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折合</w:t>
            </w:r>
          </w:p>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日产量</w:t>
            </w:r>
          </w:p>
        </w:tc>
        <w:tc>
          <w:tcPr>
            <w:tcW w:w="2505" w:type="dxa"/>
            <w:gridSpan w:val="2"/>
            <w:tcBorders>
              <w:tl2br w:val="nil"/>
              <w:tr2bl w:val="nil"/>
            </w:tcBorders>
            <w:vAlign w:val="center"/>
          </w:tcPr>
          <w:p>
            <w:pPr>
              <w:jc w:val="center"/>
              <w:rPr>
                <w:rFonts w:hint="eastAsia" w:ascii="Times New Roman" w:hAnsi="Times New Roman" w:cs="Times New Roman" w:eastAsiaTheme="minorEastAsia"/>
                <w:b/>
                <w:bCs/>
                <w:color w:val="auto"/>
                <w:szCs w:val="21"/>
                <w:highlight w:val="none"/>
                <w:lang w:eastAsia="zh-CN"/>
              </w:rPr>
            </w:pPr>
            <w:r>
              <w:rPr>
                <w:rFonts w:hint="eastAsia" w:ascii="Times New Roman" w:hAnsi="Times New Roman" w:cs="Times New Roman"/>
                <w:b/>
                <w:bCs/>
                <w:color w:val="auto"/>
                <w:szCs w:val="21"/>
                <w:highlight w:val="none"/>
                <w:lang w:eastAsia="zh-CN"/>
              </w:rPr>
              <w:t>2022年</w:t>
            </w:r>
            <w:r>
              <w:rPr>
                <w:rFonts w:hint="eastAsia" w:ascii="Times New Roman" w:hAnsi="Times New Roman" w:cs="Times New Roman"/>
                <w:b/>
                <w:bCs/>
                <w:color w:val="auto"/>
                <w:szCs w:val="21"/>
                <w:highlight w:val="none"/>
                <w:lang w:val="en-US" w:eastAsia="zh-CN"/>
              </w:rPr>
              <w:t>2</w:t>
            </w:r>
            <w:r>
              <w:rPr>
                <w:rFonts w:hint="eastAsia" w:ascii="Times New Roman" w:hAnsi="Times New Roman" w:cs="Times New Roman"/>
                <w:b/>
                <w:bCs/>
                <w:color w:val="auto"/>
                <w:szCs w:val="21"/>
                <w:highlight w:val="none"/>
                <w:lang w:eastAsia="zh-CN"/>
              </w:rPr>
              <w:t>月</w:t>
            </w:r>
            <w:r>
              <w:rPr>
                <w:rFonts w:hint="eastAsia" w:ascii="Times New Roman" w:hAnsi="Times New Roman" w:cs="Times New Roman"/>
                <w:b/>
                <w:bCs/>
                <w:color w:val="auto"/>
                <w:szCs w:val="21"/>
                <w:highlight w:val="none"/>
                <w:lang w:val="en-US" w:eastAsia="zh-CN"/>
              </w:rPr>
              <w:t>22</w:t>
            </w:r>
            <w:r>
              <w:rPr>
                <w:rFonts w:hint="eastAsia" w:ascii="Times New Roman" w:hAnsi="Times New Roman" w:cs="Times New Roman"/>
                <w:b/>
                <w:bCs/>
                <w:color w:val="auto"/>
                <w:szCs w:val="21"/>
                <w:highlight w:val="none"/>
                <w:lang w:eastAsia="zh-CN"/>
              </w:rPr>
              <w:t>日</w:t>
            </w:r>
          </w:p>
        </w:tc>
        <w:tc>
          <w:tcPr>
            <w:tcW w:w="2467" w:type="dxa"/>
            <w:gridSpan w:val="2"/>
            <w:tcBorders>
              <w:tl2br w:val="nil"/>
              <w:tr2bl w:val="nil"/>
            </w:tcBorders>
            <w:vAlign w:val="center"/>
          </w:tcPr>
          <w:p>
            <w:pPr>
              <w:jc w:val="center"/>
              <w:rPr>
                <w:rFonts w:hint="eastAsia" w:ascii="Times New Roman" w:hAnsi="Times New Roman" w:cs="Times New Roman" w:eastAsiaTheme="minorEastAsia"/>
                <w:b/>
                <w:bCs/>
                <w:color w:val="auto"/>
                <w:szCs w:val="21"/>
                <w:highlight w:val="none"/>
                <w:lang w:eastAsia="zh-CN"/>
              </w:rPr>
            </w:pPr>
            <w:r>
              <w:rPr>
                <w:rFonts w:hint="eastAsia" w:ascii="Times New Roman" w:hAnsi="Times New Roman" w:cs="Times New Roman"/>
                <w:b/>
                <w:bCs/>
                <w:color w:val="auto"/>
                <w:szCs w:val="21"/>
                <w:highlight w:val="none"/>
                <w:lang w:eastAsia="zh-CN"/>
              </w:rPr>
              <w:t>2022年</w:t>
            </w:r>
            <w:r>
              <w:rPr>
                <w:rFonts w:hint="eastAsia" w:ascii="Times New Roman" w:hAnsi="Times New Roman" w:cs="Times New Roman"/>
                <w:b/>
                <w:bCs/>
                <w:color w:val="auto"/>
                <w:szCs w:val="21"/>
                <w:highlight w:val="none"/>
                <w:lang w:val="en-US" w:eastAsia="zh-CN"/>
              </w:rPr>
              <w:t>2</w:t>
            </w:r>
            <w:r>
              <w:rPr>
                <w:rFonts w:hint="eastAsia" w:ascii="Times New Roman" w:hAnsi="Times New Roman" w:cs="Times New Roman"/>
                <w:b/>
                <w:bCs/>
                <w:color w:val="auto"/>
                <w:szCs w:val="21"/>
                <w:highlight w:val="none"/>
                <w:lang w:eastAsia="zh-CN"/>
              </w:rPr>
              <w:t>月</w:t>
            </w:r>
            <w:r>
              <w:rPr>
                <w:rFonts w:hint="eastAsia" w:ascii="Times New Roman" w:hAnsi="Times New Roman" w:cs="Times New Roman"/>
                <w:b/>
                <w:bCs/>
                <w:color w:val="auto"/>
                <w:szCs w:val="21"/>
                <w:highlight w:val="none"/>
                <w:lang w:val="en-US" w:eastAsia="zh-CN"/>
              </w:rPr>
              <w:t>23</w:t>
            </w:r>
            <w:r>
              <w:rPr>
                <w:rFonts w:hint="eastAsia" w:ascii="Times New Roman" w:hAnsi="Times New Roman" w:cs="Times New Roman"/>
                <w:b/>
                <w:bCs/>
                <w:color w:val="auto"/>
                <w:szCs w:val="21"/>
                <w:highlight w:val="none"/>
                <w:lang w:eastAsia="zh-CN"/>
              </w:rPr>
              <w:t>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5" w:type="dxa"/>
            <w:vMerge w:val="continue"/>
            <w:tcBorders>
              <w:tl2br w:val="nil"/>
              <w:tr2bl w:val="nil"/>
            </w:tcBorders>
            <w:vAlign w:val="center"/>
          </w:tcPr>
          <w:p>
            <w:pPr>
              <w:jc w:val="center"/>
              <w:rPr>
                <w:rFonts w:ascii="Times New Roman" w:hAnsi="Times New Roman" w:cs="Times New Roman"/>
                <w:b/>
                <w:bCs/>
                <w:color w:val="auto"/>
                <w:szCs w:val="21"/>
                <w:highlight w:val="none"/>
              </w:rPr>
            </w:pPr>
          </w:p>
        </w:tc>
        <w:tc>
          <w:tcPr>
            <w:tcW w:w="1185" w:type="dxa"/>
            <w:vMerge w:val="continue"/>
            <w:tcBorders>
              <w:tl2br w:val="nil"/>
              <w:tr2bl w:val="nil"/>
            </w:tcBorders>
            <w:vAlign w:val="center"/>
          </w:tcPr>
          <w:p>
            <w:pPr>
              <w:jc w:val="center"/>
              <w:rPr>
                <w:rFonts w:ascii="Times New Roman" w:hAnsi="Times New Roman" w:cs="Times New Roman"/>
                <w:b/>
                <w:bCs/>
                <w:color w:val="auto"/>
                <w:szCs w:val="21"/>
                <w:highlight w:val="none"/>
              </w:rPr>
            </w:pPr>
          </w:p>
        </w:tc>
        <w:tc>
          <w:tcPr>
            <w:tcW w:w="1260" w:type="dxa"/>
            <w:vMerge w:val="continue"/>
            <w:tcBorders>
              <w:tl2br w:val="nil"/>
              <w:tr2bl w:val="nil"/>
            </w:tcBorders>
            <w:vAlign w:val="center"/>
          </w:tcPr>
          <w:p>
            <w:pPr>
              <w:jc w:val="center"/>
              <w:rPr>
                <w:rFonts w:ascii="Times New Roman" w:hAnsi="Times New Roman" w:cs="Times New Roman"/>
                <w:b/>
                <w:bCs/>
                <w:color w:val="auto"/>
                <w:szCs w:val="21"/>
                <w:highlight w:val="none"/>
              </w:rPr>
            </w:pPr>
          </w:p>
        </w:tc>
        <w:tc>
          <w:tcPr>
            <w:tcW w:w="1245" w:type="dxa"/>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实际量</w:t>
            </w:r>
          </w:p>
        </w:tc>
        <w:tc>
          <w:tcPr>
            <w:tcW w:w="1260" w:type="dxa"/>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生产负荷</w:t>
            </w:r>
          </w:p>
        </w:tc>
        <w:tc>
          <w:tcPr>
            <w:tcW w:w="1260" w:type="dxa"/>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实际量</w:t>
            </w:r>
          </w:p>
        </w:tc>
        <w:tc>
          <w:tcPr>
            <w:tcW w:w="1207" w:type="dxa"/>
            <w:tcBorders>
              <w:tl2br w:val="nil"/>
              <w:tr2bl w:val="nil"/>
            </w:tcBorders>
            <w:vAlign w:val="center"/>
          </w:tcPr>
          <w:p>
            <w:pPr>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生产负荷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5" w:type="dxa"/>
            <w:tcBorders>
              <w:tl2br w:val="nil"/>
              <w:tr2bl w:val="nil"/>
            </w:tcBorders>
            <w:vAlign w:val="center"/>
          </w:tcPr>
          <w:p>
            <w:pPr>
              <w:spacing w:line="240" w:lineRule="exact"/>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cs="Times New Roman"/>
                <w:color w:val="auto"/>
                <w:highlight w:val="none"/>
                <w:lang w:eastAsia="zh-CN"/>
              </w:rPr>
              <w:t>回收拆除报废汽车</w:t>
            </w:r>
          </w:p>
        </w:tc>
        <w:tc>
          <w:tcPr>
            <w:tcW w:w="1185" w:type="dxa"/>
            <w:tcBorders>
              <w:tl2br w:val="nil"/>
              <w:tr2bl w:val="nil"/>
            </w:tcBorders>
            <w:vAlign w:val="center"/>
          </w:tcPr>
          <w:p>
            <w:pPr>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cs="Times New Roman"/>
                <w:color w:val="auto"/>
                <w:szCs w:val="21"/>
                <w:highlight w:val="none"/>
                <w:lang w:val="en-US" w:eastAsia="zh-CN"/>
              </w:rPr>
              <w:t>3万台</w:t>
            </w:r>
          </w:p>
        </w:tc>
        <w:tc>
          <w:tcPr>
            <w:tcW w:w="1260" w:type="dxa"/>
            <w:tcBorders>
              <w:tl2br w:val="nil"/>
              <w:tr2bl w:val="nil"/>
            </w:tcBorders>
            <w:vAlign w:val="center"/>
          </w:tcPr>
          <w:p>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100台</w:t>
            </w:r>
          </w:p>
        </w:tc>
        <w:tc>
          <w:tcPr>
            <w:tcW w:w="1245" w:type="dxa"/>
            <w:tcBorders>
              <w:tl2br w:val="nil"/>
              <w:tr2bl w:val="nil"/>
            </w:tcBorders>
            <w:vAlign w:val="center"/>
          </w:tcPr>
          <w:p>
            <w:pPr>
              <w:jc w:val="center"/>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89台</w:t>
            </w:r>
          </w:p>
        </w:tc>
        <w:tc>
          <w:tcPr>
            <w:tcW w:w="1260" w:type="dxa"/>
            <w:tcBorders>
              <w:tl2br w:val="nil"/>
              <w:tr2bl w:val="nil"/>
            </w:tcBorders>
            <w:vAlign w:val="center"/>
          </w:tcPr>
          <w:p>
            <w:pPr>
              <w:jc w:val="center"/>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89%</w:t>
            </w:r>
          </w:p>
        </w:tc>
        <w:tc>
          <w:tcPr>
            <w:tcW w:w="1260" w:type="dxa"/>
            <w:tcBorders>
              <w:tl2br w:val="nil"/>
              <w:tr2bl w:val="nil"/>
            </w:tcBorders>
            <w:vAlign w:val="center"/>
          </w:tcPr>
          <w:p>
            <w:pPr>
              <w:jc w:val="center"/>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87台</w:t>
            </w:r>
          </w:p>
        </w:tc>
        <w:tc>
          <w:tcPr>
            <w:tcW w:w="1207" w:type="dxa"/>
            <w:tcBorders>
              <w:tl2br w:val="nil"/>
              <w:tr2bl w:val="nil"/>
            </w:tcBorders>
            <w:vAlign w:val="center"/>
          </w:tcPr>
          <w:p>
            <w:pPr>
              <w:jc w:val="center"/>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87%</w:t>
            </w:r>
          </w:p>
        </w:tc>
      </w:tr>
    </w:tbl>
    <w:p>
      <w:pPr>
        <w:pStyle w:val="4"/>
        <w:pageBreakBefore w:val="0"/>
        <w:kinsoku/>
        <w:wordWrap/>
        <w:overflowPunct/>
        <w:topLinePunct w:val="0"/>
        <w:autoSpaceDE/>
        <w:autoSpaceDN/>
        <w:bidi w:val="0"/>
        <w:adjustRightInd/>
        <w:snapToGrid/>
        <w:spacing w:before="0" w:after="0" w:line="360" w:lineRule="auto"/>
        <w:textAlignment w:val="auto"/>
        <w:rPr>
          <w:rFonts w:ascii="Times New Roman" w:hAnsi="Times New Roman" w:cs="Times New Roman" w:eastAsiaTheme="minorEastAsia"/>
          <w:color w:val="auto"/>
          <w:sz w:val="24"/>
          <w:szCs w:val="24"/>
          <w:highlight w:val="none"/>
        </w:rPr>
      </w:pPr>
    </w:p>
    <w:p>
      <w:pPr>
        <w:pStyle w:val="4"/>
        <w:pageBreakBefore w:val="0"/>
        <w:kinsoku/>
        <w:wordWrap/>
        <w:overflowPunct/>
        <w:topLinePunct w:val="0"/>
        <w:autoSpaceDE/>
        <w:autoSpaceDN/>
        <w:bidi w:val="0"/>
        <w:adjustRightInd/>
        <w:snapToGrid/>
        <w:spacing w:before="0" w:after="0" w:line="360" w:lineRule="auto"/>
        <w:textAlignment w:val="auto"/>
        <w:rPr>
          <w:rFonts w:ascii="Times New Roman" w:hAnsi="Times New Roman" w:cs="Times New Roman" w:eastAsiaTheme="minorEastAsia"/>
          <w:color w:val="auto"/>
          <w:sz w:val="24"/>
          <w:szCs w:val="24"/>
          <w:highlight w:val="none"/>
        </w:rPr>
      </w:pPr>
      <w:bookmarkStart w:id="79" w:name="_Toc31666"/>
      <w:r>
        <w:rPr>
          <w:rFonts w:ascii="Times New Roman" w:hAnsi="Times New Roman" w:cs="Times New Roman" w:eastAsiaTheme="minorEastAsia"/>
          <w:color w:val="auto"/>
          <w:sz w:val="24"/>
          <w:szCs w:val="24"/>
          <w:highlight w:val="none"/>
        </w:rPr>
        <w:t>9.2环保设施调试运行效果</w:t>
      </w:r>
      <w:bookmarkEnd w:id="79"/>
    </w:p>
    <w:p>
      <w:pPr>
        <w:pageBreakBefore w:val="0"/>
        <w:kinsoku/>
        <w:wordWrap/>
        <w:overflowPunct/>
        <w:topLinePunct w:val="0"/>
        <w:autoSpaceDE/>
        <w:autoSpaceDN/>
        <w:bidi w:val="0"/>
        <w:adjustRightInd/>
        <w:snapToGrid/>
        <w:spacing w:line="360" w:lineRule="auto"/>
        <w:textAlignment w:val="auto"/>
        <w:rPr>
          <w:rFonts w:ascii="Times New Roman" w:hAnsi="Times New Roman" w:cs="Times New Roman"/>
          <w:b/>
          <w:color w:val="auto"/>
          <w:sz w:val="24"/>
          <w:szCs w:val="24"/>
          <w:highlight w:val="none"/>
        </w:rPr>
      </w:pPr>
      <w:r>
        <w:rPr>
          <w:rFonts w:ascii="Times New Roman" w:hAnsi="Times New Roman" w:cs="Times New Roman"/>
          <w:b/>
          <w:color w:val="auto"/>
          <w:sz w:val="24"/>
          <w:szCs w:val="24"/>
          <w:highlight w:val="none"/>
        </w:rPr>
        <w:t>9.2.1污染物排放监测结果</w:t>
      </w:r>
    </w:p>
    <w:p>
      <w:pPr>
        <w:pageBreakBefore w:val="0"/>
        <w:kinsoku/>
        <w:wordWrap/>
        <w:overflowPunct/>
        <w:topLinePunct w:val="0"/>
        <w:autoSpaceDE/>
        <w:autoSpaceDN/>
        <w:bidi w:val="0"/>
        <w:adjustRightInd/>
        <w:snapToGrid/>
        <w:spacing w:line="360" w:lineRule="auto"/>
        <w:textAlignment w:val="auto"/>
        <w:rPr>
          <w:rFonts w:ascii="Times New Roman" w:hAnsi="Times New Roman" w:cs="Times New Roman"/>
          <w:b/>
          <w:color w:val="auto"/>
          <w:sz w:val="24"/>
          <w:szCs w:val="24"/>
          <w:highlight w:val="none"/>
        </w:rPr>
      </w:pPr>
      <w:r>
        <w:rPr>
          <w:rFonts w:ascii="Times New Roman" w:hAnsi="Times New Roman" w:cs="Times New Roman"/>
          <w:b/>
          <w:color w:val="auto"/>
          <w:sz w:val="24"/>
          <w:szCs w:val="24"/>
          <w:highlight w:val="none"/>
        </w:rPr>
        <w:t>9.2.1.1废水</w:t>
      </w:r>
    </w:p>
    <w:p>
      <w:pPr>
        <w:pStyle w:val="39"/>
        <w:pageBreakBefore w:val="0"/>
        <w:kinsoku/>
        <w:wordWrap/>
        <w:overflowPunct/>
        <w:topLinePunct w:val="0"/>
        <w:autoSpaceDE/>
        <w:autoSpaceDN/>
        <w:bidi w:val="0"/>
        <w:adjustRightInd/>
        <w:snapToGrid/>
        <w:spacing w:before="0" w:line="360" w:lineRule="auto"/>
        <w:textAlignment w:val="auto"/>
        <w:rPr>
          <w:rFonts w:ascii="Times New Roman" w:hAnsi="Times New Roman" w:cs="Times New Roman" w:eastAsiaTheme="minorEastAsia"/>
          <w:color w:val="auto"/>
          <w:highlight w:val="none"/>
        </w:rPr>
      </w:pPr>
      <w:r>
        <w:rPr>
          <w:rFonts w:ascii="Times New Roman" w:hAnsi="Times New Roman" w:cs="Times New Roman" w:eastAsiaTheme="minorEastAsia"/>
          <w:color w:val="auto"/>
          <w:highlight w:val="none"/>
        </w:rPr>
        <w:t>项目</w:t>
      </w:r>
      <w:r>
        <w:rPr>
          <w:rFonts w:hint="eastAsia" w:ascii="Times New Roman" w:hAnsi="Times New Roman" w:cs="Times New Roman" w:eastAsiaTheme="minorEastAsia"/>
          <w:color w:val="auto"/>
          <w:highlight w:val="none"/>
        </w:rPr>
        <w:t>废水</w:t>
      </w:r>
      <w:r>
        <w:rPr>
          <w:rFonts w:ascii="Times New Roman" w:hAnsi="Times New Roman" w:cs="Times New Roman" w:eastAsiaTheme="minorEastAsia"/>
          <w:color w:val="auto"/>
          <w:highlight w:val="none"/>
        </w:rPr>
        <w:t>监测监测结果见表9-</w:t>
      </w:r>
      <w:r>
        <w:rPr>
          <w:rFonts w:hint="eastAsia" w:ascii="Times New Roman" w:hAnsi="Times New Roman" w:cs="Times New Roman" w:eastAsiaTheme="minorEastAsia"/>
          <w:color w:val="auto"/>
          <w:highlight w:val="none"/>
        </w:rPr>
        <w:t>2</w:t>
      </w:r>
      <w:r>
        <w:rPr>
          <w:rFonts w:ascii="Times New Roman" w:hAnsi="Times New Roman" w:cs="Times New Roman" w:eastAsiaTheme="minorEastAsia"/>
          <w:color w:val="auto"/>
          <w:highlight w:val="none"/>
        </w:rPr>
        <w:t>。</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验收监测期间（</w:t>
      </w:r>
      <w:r>
        <w:rPr>
          <w:rFonts w:hint="eastAsia" w:ascii="Times New Roman" w:hAnsi="Times New Roman" w:cs="Times New Roman"/>
          <w:color w:val="auto"/>
          <w:sz w:val="24"/>
          <w:szCs w:val="24"/>
          <w:highlight w:val="none"/>
          <w:lang w:eastAsia="zh-CN"/>
        </w:rPr>
        <w:t>2022年1月11日~1月12日</w:t>
      </w:r>
      <w:r>
        <w:rPr>
          <w:rFonts w:hint="eastAsia" w:ascii="Times New Roman" w:hAnsi="Times New Roman" w:cs="Times New Roman"/>
          <w:color w:val="auto"/>
          <w:sz w:val="24"/>
          <w:szCs w:val="24"/>
          <w:highlight w:val="none"/>
        </w:rPr>
        <w:t>），生</w:t>
      </w:r>
      <w:r>
        <w:rPr>
          <w:rFonts w:hint="eastAsia" w:ascii="Times New Roman" w:hAnsi="Times New Roman" w:cs="Times New Roman"/>
          <w:color w:val="auto"/>
          <w:sz w:val="24"/>
          <w:szCs w:val="24"/>
          <w:highlight w:val="none"/>
          <w:lang w:eastAsia="zh-CN"/>
        </w:rPr>
        <w:t>产</w:t>
      </w:r>
      <w:r>
        <w:rPr>
          <w:rFonts w:hint="eastAsia" w:ascii="Times New Roman" w:hAnsi="Times New Roman" w:cs="Times New Roman"/>
          <w:color w:val="auto"/>
          <w:sz w:val="24"/>
          <w:szCs w:val="24"/>
          <w:highlight w:val="none"/>
        </w:rPr>
        <w:t>废水排口中pH值、悬浮物、化学需氧量、</w:t>
      </w:r>
      <w:r>
        <w:rPr>
          <w:rFonts w:hint="eastAsia" w:ascii="Times New Roman" w:hAnsi="Times New Roman" w:cs="Times New Roman"/>
          <w:color w:val="auto"/>
          <w:sz w:val="24"/>
          <w:szCs w:val="24"/>
          <w:highlight w:val="none"/>
          <w:lang w:eastAsia="zh-CN"/>
        </w:rPr>
        <w:t>石油类</w:t>
      </w:r>
      <w:r>
        <w:rPr>
          <w:rFonts w:hint="eastAsia" w:ascii="Times New Roman" w:hAnsi="Times New Roman" w:cs="Times New Roman"/>
          <w:color w:val="auto"/>
          <w:sz w:val="24"/>
          <w:szCs w:val="24"/>
          <w:highlight w:val="none"/>
        </w:rPr>
        <w:t>排放浓度均符合《污水综合排放标准》（GB 8978-1996）表1中三级标准，其中氨氮</w:t>
      </w:r>
      <w:r>
        <w:rPr>
          <w:rFonts w:hint="eastAsia" w:ascii="Times New Roman" w:hAnsi="Times New Roman" w:cs="Times New Roman"/>
          <w:color w:val="auto"/>
          <w:sz w:val="24"/>
          <w:szCs w:val="24"/>
          <w:highlight w:val="none"/>
          <w:lang w:eastAsia="zh-CN"/>
        </w:rPr>
        <w:t>、总磷</w:t>
      </w:r>
      <w:r>
        <w:rPr>
          <w:rFonts w:hint="eastAsia" w:ascii="Times New Roman" w:hAnsi="Times New Roman" w:cs="Times New Roman"/>
          <w:color w:val="auto"/>
          <w:sz w:val="24"/>
          <w:szCs w:val="24"/>
          <w:highlight w:val="none"/>
        </w:rPr>
        <w:t>排放浓度符合《工业企业废水氮、磷污染物间接排放限值》（DB 33/887-2013）中的标准限值。</w:t>
      </w:r>
    </w:p>
    <w:p>
      <w:pPr>
        <w:pageBreakBefore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验收监测期间（</w:t>
      </w:r>
      <w:r>
        <w:rPr>
          <w:rFonts w:hint="eastAsia" w:ascii="Times New Roman" w:hAnsi="Times New Roman" w:cs="Times New Roman"/>
          <w:color w:val="auto"/>
          <w:sz w:val="24"/>
          <w:szCs w:val="24"/>
          <w:highlight w:val="none"/>
          <w:lang w:eastAsia="zh-CN"/>
        </w:rPr>
        <w:t>2022年1月11日~1月12日</w:t>
      </w:r>
      <w:r>
        <w:rPr>
          <w:rFonts w:hint="eastAsia"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厂区总排</w:t>
      </w:r>
      <w:r>
        <w:rPr>
          <w:rFonts w:hint="eastAsia" w:ascii="Times New Roman" w:hAnsi="Times New Roman" w:cs="Times New Roman"/>
          <w:color w:val="auto"/>
          <w:sz w:val="24"/>
          <w:szCs w:val="24"/>
          <w:highlight w:val="none"/>
        </w:rPr>
        <w:t>口中pH值、悬浮物、化学需氧量、</w:t>
      </w:r>
      <w:r>
        <w:rPr>
          <w:rFonts w:ascii="Times New Roman" w:hAnsi="Times New Roman" w:cs="Times New Roman"/>
          <w:color w:val="auto"/>
          <w:sz w:val="24"/>
          <w:szCs w:val="24"/>
          <w:highlight w:val="none"/>
        </w:rPr>
        <w:t>五日生化需氧量</w:t>
      </w:r>
      <w:r>
        <w:rPr>
          <w:rFonts w:hint="eastAsia" w:ascii="Times New Roman" w:hAnsi="Times New Roman" w:cs="Times New Roman"/>
          <w:color w:val="auto"/>
          <w:sz w:val="24"/>
          <w:szCs w:val="24"/>
          <w:highlight w:val="none"/>
        </w:rPr>
        <w:t>、动植物油类排放浓度均符合《污水综合排放标准》（GB 8978-1996）表1中三级标准，其中氨氮</w:t>
      </w:r>
      <w:r>
        <w:rPr>
          <w:rFonts w:hint="eastAsia" w:ascii="Times New Roman" w:hAnsi="Times New Roman" w:cs="Times New Roman"/>
          <w:color w:val="auto"/>
          <w:sz w:val="24"/>
          <w:szCs w:val="24"/>
          <w:highlight w:val="none"/>
          <w:lang w:eastAsia="zh-CN"/>
        </w:rPr>
        <w:t>、总磷</w:t>
      </w:r>
      <w:r>
        <w:rPr>
          <w:rFonts w:hint="eastAsia" w:ascii="Times New Roman" w:hAnsi="Times New Roman" w:cs="Times New Roman"/>
          <w:color w:val="auto"/>
          <w:sz w:val="24"/>
          <w:szCs w:val="24"/>
          <w:highlight w:val="none"/>
        </w:rPr>
        <w:t>排放浓度符合《工业企业废水氮、磷污染物间接排放限值》（DB 33/887-2013）中的标准限值。</w:t>
      </w:r>
    </w:p>
    <w:p>
      <w:pPr>
        <w:pageBreakBefore w:val="0"/>
        <w:kinsoku/>
        <w:wordWrap/>
        <w:overflowPunct/>
        <w:topLinePunct w:val="0"/>
        <w:autoSpaceDE/>
        <w:autoSpaceDN/>
        <w:bidi w:val="0"/>
        <w:adjustRightInd/>
        <w:snapToGrid/>
        <w:spacing w:line="360" w:lineRule="auto"/>
        <w:textAlignment w:val="auto"/>
        <w:rPr>
          <w:rFonts w:hint="eastAsia" w:ascii="Times New Roman" w:hAnsi="Times New Roman" w:cs="Times New Roman" w:eastAsiaTheme="minorEastAsia"/>
          <w:b/>
          <w:color w:val="auto"/>
          <w:sz w:val="24"/>
          <w:szCs w:val="24"/>
          <w:highlight w:val="none"/>
          <w:lang w:eastAsia="zh-CN"/>
        </w:rPr>
      </w:pPr>
      <w:r>
        <w:rPr>
          <w:rFonts w:ascii="Times New Roman" w:hAnsi="Times New Roman" w:cs="Times New Roman"/>
          <w:b/>
          <w:color w:val="auto"/>
          <w:sz w:val="24"/>
          <w:szCs w:val="24"/>
          <w:highlight w:val="none"/>
        </w:rPr>
        <w:t>9.2.1.2废气</w:t>
      </w:r>
    </w:p>
    <w:p>
      <w:pPr>
        <w:pStyle w:val="39"/>
        <w:pageBreakBefore w:val="0"/>
        <w:kinsoku/>
        <w:wordWrap/>
        <w:overflowPunct/>
        <w:topLinePunct w:val="0"/>
        <w:autoSpaceDE/>
        <w:autoSpaceDN/>
        <w:bidi w:val="0"/>
        <w:adjustRightInd/>
        <w:snapToGrid/>
        <w:spacing w:before="0" w:line="360" w:lineRule="auto"/>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eastAsia="zh-CN"/>
        </w:rPr>
        <w:t>（</w:t>
      </w:r>
      <w:r>
        <w:rPr>
          <w:rFonts w:hint="eastAsia" w:ascii="Times New Roman" w:hAnsi="Times New Roman" w:cs="Times New Roman" w:eastAsiaTheme="minorEastAsia"/>
          <w:color w:val="auto"/>
          <w:highlight w:val="none"/>
          <w:lang w:val="en-US" w:eastAsia="zh-CN"/>
        </w:rPr>
        <w:t>1</w:t>
      </w:r>
      <w:r>
        <w:rPr>
          <w:rFonts w:hint="eastAsia" w:ascii="Times New Roman" w:hAnsi="Times New Roman" w:cs="Times New Roman" w:eastAsiaTheme="minorEastAsia"/>
          <w:color w:val="auto"/>
          <w:highlight w:val="none"/>
          <w:lang w:eastAsia="zh-CN"/>
        </w:rPr>
        <w:t>）</w:t>
      </w:r>
      <w:r>
        <w:rPr>
          <w:rFonts w:hint="eastAsia" w:ascii="Times New Roman" w:hAnsi="Times New Roman" w:cs="Times New Roman" w:eastAsiaTheme="minorEastAsia"/>
          <w:color w:val="auto"/>
          <w:highlight w:val="none"/>
          <w:lang w:val="en-US" w:eastAsia="zh-CN"/>
        </w:rPr>
        <w:t>有组织废气</w:t>
      </w:r>
    </w:p>
    <w:p>
      <w:pPr>
        <w:pStyle w:val="39"/>
        <w:pageBreakBefore w:val="0"/>
        <w:kinsoku/>
        <w:wordWrap/>
        <w:overflowPunct/>
        <w:topLinePunct w:val="0"/>
        <w:autoSpaceDE/>
        <w:autoSpaceDN/>
        <w:bidi w:val="0"/>
        <w:adjustRightInd/>
        <w:snapToGrid/>
        <w:spacing w:before="0" w:line="360" w:lineRule="auto"/>
        <w:textAlignment w:val="auto"/>
        <w:rPr>
          <w:rFonts w:ascii="Times New Roman" w:hAnsi="Times New Roman" w:cs="Times New Roman" w:eastAsiaTheme="minorEastAsia"/>
          <w:color w:val="auto"/>
          <w:highlight w:val="none"/>
        </w:rPr>
      </w:pPr>
      <w:r>
        <w:rPr>
          <w:rFonts w:ascii="Times New Roman" w:hAnsi="Times New Roman" w:cs="Times New Roman" w:eastAsiaTheme="minorEastAsia"/>
          <w:color w:val="auto"/>
          <w:highlight w:val="none"/>
        </w:rPr>
        <w:t>项目</w:t>
      </w:r>
      <w:r>
        <w:rPr>
          <w:rFonts w:hint="eastAsia" w:ascii="Times New Roman" w:hAnsi="Times New Roman" w:cs="Times New Roman" w:eastAsiaTheme="minorEastAsia"/>
          <w:color w:val="auto"/>
          <w:highlight w:val="none"/>
          <w:lang w:val="en-US" w:eastAsia="zh-CN"/>
        </w:rPr>
        <w:t>有组织废气</w:t>
      </w:r>
      <w:r>
        <w:rPr>
          <w:rFonts w:ascii="Times New Roman" w:hAnsi="Times New Roman" w:cs="Times New Roman" w:eastAsiaTheme="minorEastAsia"/>
          <w:color w:val="auto"/>
          <w:highlight w:val="none"/>
        </w:rPr>
        <w:t>监测结果见表9-</w:t>
      </w:r>
      <w:r>
        <w:rPr>
          <w:rFonts w:hint="eastAsia" w:ascii="Times New Roman" w:hAnsi="Times New Roman" w:cs="Times New Roman" w:eastAsiaTheme="minorEastAsia"/>
          <w:color w:val="auto"/>
          <w:highlight w:val="none"/>
          <w:lang w:val="en-US" w:eastAsia="zh-CN"/>
        </w:rPr>
        <w:t>3</w:t>
      </w:r>
      <w:r>
        <w:rPr>
          <w:rFonts w:ascii="Times New Roman" w:hAnsi="Times New Roman" w:cs="Times New Roman" w:eastAsiaTheme="minorEastAsia"/>
          <w:color w:val="auto"/>
          <w:highlight w:val="none"/>
        </w:rPr>
        <w:t>。</w:t>
      </w:r>
    </w:p>
    <w:p>
      <w:pPr>
        <w:pStyle w:val="39"/>
        <w:pageBreakBefore w:val="0"/>
        <w:kinsoku/>
        <w:wordWrap/>
        <w:overflowPunct/>
        <w:topLinePunct w:val="0"/>
        <w:autoSpaceDE/>
        <w:autoSpaceDN/>
        <w:bidi w:val="0"/>
        <w:adjustRightInd/>
        <w:snapToGrid/>
        <w:spacing w:before="0" w:line="360" w:lineRule="auto"/>
        <w:textAlignment w:val="auto"/>
        <w:rPr>
          <w:rFonts w:hint="eastAsia" w:ascii="Times New Roman" w:hAnsi="Times New Roman" w:cs="Times New Roman" w:eastAsiaTheme="minorEastAsia"/>
          <w:color w:val="auto"/>
          <w:highlight w:val="none"/>
          <w:lang w:val="en-US" w:eastAsia="zh-CN"/>
        </w:rPr>
      </w:pPr>
      <w:r>
        <w:rPr>
          <w:rFonts w:ascii="Times New Roman" w:hAnsi="Times New Roman" w:cs="Times New Roman" w:eastAsiaTheme="minorEastAsia"/>
          <w:color w:val="auto"/>
          <w:highlight w:val="none"/>
        </w:rPr>
        <w:t>验收监测期间（</w:t>
      </w:r>
      <w:r>
        <w:rPr>
          <w:rFonts w:hint="eastAsia" w:ascii="Times New Roman" w:hAnsi="Times New Roman" w:cs="Times New Roman" w:eastAsiaTheme="minorEastAsia"/>
          <w:color w:val="auto"/>
          <w:highlight w:val="none"/>
          <w:lang w:eastAsia="zh-CN"/>
        </w:rPr>
        <w:t>2022年</w:t>
      </w:r>
      <w:r>
        <w:rPr>
          <w:rFonts w:hint="eastAsia" w:ascii="Times New Roman" w:hAnsi="Times New Roman" w:cs="Times New Roman" w:eastAsiaTheme="minorEastAsia"/>
          <w:color w:val="auto"/>
          <w:highlight w:val="none"/>
          <w:lang w:val="en-US" w:eastAsia="zh-CN"/>
        </w:rPr>
        <w:t>2</w:t>
      </w:r>
      <w:r>
        <w:rPr>
          <w:rFonts w:hint="eastAsia" w:ascii="Times New Roman" w:hAnsi="Times New Roman" w:cs="Times New Roman" w:eastAsiaTheme="minorEastAsia"/>
          <w:color w:val="auto"/>
          <w:highlight w:val="none"/>
          <w:lang w:eastAsia="zh-CN"/>
        </w:rPr>
        <w:t>月</w:t>
      </w:r>
      <w:r>
        <w:rPr>
          <w:rFonts w:hint="eastAsia" w:ascii="Times New Roman" w:hAnsi="Times New Roman" w:cs="Times New Roman" w:eastAsiaTheme="minorEastAsia"/>
          <w:color w:val="auto"/>
          <w:highlight w:val="none"/>
          <w:lang w:val="en-US" w:eastAsia="zh-CN"/>
        </w:rPr>
        <w:t>22</w:t>
      </w:r>
      <w:r>
        <w:rPr>
          <w:rFonts w:hint="eastAsia" w:ascii="Times New Roman" w:hAnsi="Times New Roman" w:cs="Times New Roman" w:eastAsiaTheme="minorEastAsia"/>
          <w:color w:val="auto"/>
          <w:highlight w:val="none"/>
          <w:lang w:eastAsia="zh-CN"/>
        </w:rPr>
        <w:t>日~</w:t>
      </w:r>
      <w:r>
        <w:rPr>
          <w:rFonts w:hint="eastAsia" w:ascii="Times New Roman" w:hAnsi="Times New Roman" w:cs="Times New Roman" w:eastAsiaTheme="minorEastAsia"/>
          <w:color w:val="auto"/>
          <w:highlight w:val="none"/>
          <w:lang w:val="en-US" w:eastAsia="zh-CN"/>
        </w:rPr>
        <w:t>2</w:t>
      </w:r>
      <w:r>
        <w:rPr>
          <w:rFonts w:hint="eastAsia" w:ascii="Times New Roman" w:hAnsi="Times New Roman" w:cs="Times New Roman" w:eastAsiaTheme="minorEastAsia"/>
          <w:color w:val="auto"/>
          <w:highlight w:val="none"/>
          <w:lang w:eastAsia="zh-CN"/>
        </w:rPr>
        <w:t>月</w:t>
      </w:r>
      <w:r>
        <w:rPr>
          <w:rFonts w:hint="eastAsia" w:ascii="Times New Roman" w:hAnsi="Times New Roman" w:cs="Times New Roman" w:eastAsiaTheme="minorEastAsia"/>
          <w:color w:val="auto"/>
          <w:highlight w:val="none"/>
          <w:lang w:val="en-US" w:eastAsia="zh-CN"/>
        </w:rPr>
        <w:t>23</w:t>
      </w:r>
      <w:r>
        <w:rPr>
          <w:rFonts w:hint="eastAsia" w:ascii="Times New Roman" w:hAnsi="Times New Roman" w:cs="Times New Roman" w:eastAsiaTheme="minorEastAsia"/>
          <w:color w:val="auto"/>
          <w:highlight w:val="none"/>
          <w:lang w:eastAsia="zh-CN"/>
        </w:rPr>
        <w:t>日</w:t>
      </w:r>
      <w:r>
        <w:rPr>
          <w:rFonts w:ascii="Times New Roman" w:hAnsi="Times New Roman" w:cs="Times New Roman" w:eastAsiaTheme="minorEastAsia"/>
          <w:color w:val="auto"/>
          <w:highlight w:val="none"/>
        </w:rPr>
        <w:t>），</w:t>
      </w:r>
      <w:r>
        <w:rPr>
          <w:rFonts w:hint="eastAsia" w:ascii="Times New Roman" w:hAnsi="Times New Roman" w:cs="Times New Roman" w:eastAsiaTheme="minorEastAsia"/>
          <w:color w:val="auto"/>
          <w:highlight w:val="none"/>
          <w:lang w:val="en-US" w:eastAsia="zh-CN"/>
        </w:rPr>
        <w:t>废油液挥发有机废气出口中非甲烷总烃排放浓度符合</w:t>
      </w:r>
      <w:r>
        <w:rPr>
          <w:rFonts w:ascii="Times New Roman" w:hAnsi="Times New Roman" w:cs="Times New Roman" w:eastAsiaTheme="minorEastAsia"/>
          <w:color w:val="auto"/>
          <w:highlight w:val="none"/>
        </w:rPr>
        <w:t>《大气污染物综合排放标准》（GB16297-1996）</w:t>
      </w:r>
      <w:r>
        <w:rPr>
          <w:rFonts w:hint="eastAsia" w:ascii="Times New Roman" w:hAnsi="Times New Roman" w:cs="Times New Roman" w:eastAsiaTheme="minorEastAsia"/>
          <w:color w:val="auto"/>
          <w:highlight w:val="none"/>
          <w:lang w:eastAsia="zh-CN"/>
        </w:rPr>
        <w:t>“</w:t>
      </w:r>
      <w:r>
        <w:rPr>
          <w:rFonts w:hint="default" w:ascii="Times New Roman" w:hAnsi="Times New Roman" w:cs="Times New Roman" w:eastAsiaTheme="minorEastAsia"/>
          <w:color w:val="auto"/>
          <w:highlight w:val="none"/>
        </w:rPr>
        <w:t>新污染源大气污染物排放限值</w:t>
      </w:r>
      <w:r>
        <w:rPr>
          <w:rFonts w:hint="eastAsia" w:ascii="Times New Roman" w:hAnsi="Times New Roman" w:cs="Times New Roman" w:eastAsiaTheme="minorEastAsia"/>
          <w:color w:val="auto"/>
          <w:highlight w:val="none"/>
          <w:lang w:eastAsia="zh-CN"/>
        </w:rPr>
        <w:t>”</w:t>
      </w:r>
      <w:r>
        <w:rPr>
          <w:rFonts w:hint="eastAsia" w:ascii="Times New Roman" w:hAnsi="Times New Roman" w:cs="Times New Roman" w:eastAsiaTheme="minorEastAsia"/>
          <w:color w:val="auto"/>
          <w:highlight w:val="none"/>
        </w:rPr>
        <w:t>二级标准</w:t>
      </w:r>
      <w:r>
        <w:rPr>
          <w:rFonts w:hint="eastAsia" w:ascii="Times New Roman" w:hAnsi="Times New Roman" w:cs="Times New Roman" w:eastAsiaTheme="minorEastAsia"/>
          <w:color w:val="auto"/>
          <w:highlight w:val="none"/>
          <w:lang w:eastAsia="zh-CN"/>
        </w:rPr>
        <w:t>。</w:t>
      </w:r>
    </w:p>
    <w:p>
      <w:pPr>
        <w:pStyle w:val="39"/>
        <w:pageBreakBefore w:val="0"/>
        <w:kinsoku/>
        <w:wordWrap/>
        <w:overflowPunct/>
        <w:topLinePunct w:val="0"/>
        <w:autoSpaceDE/>
        <w:autoSpaceDN/>
        <w:bidi w:val="0"/>
        <w:adjustRightInd/>
        <w:snapToGrid/>
        <w:spacing w:before="0" w:line="360" w:lineRule="auto"/>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eastAsia="zh-CN"/>
        </w:rPr>
        <w:t>（</w:t>
      </w:r>
      <w:r>
        <w:rPr>
          <w:rFonts w:hint="eastAsia" w:ascii="Times New Roman" w:hAnsi="Times New Roman" w:cs="Times New Roman" w:eastAsiaTheme="minorEastAsia"/>
          <w:color w:val="auto"/>
          <w:highlight w:val="none"/>
          <w:lang w:val="en-US" w:eastAsia="zh-CN"/>
        </w:rPr>
        <w:t>2</w:t>
      </w:r>
      <w:r>
        <w:rPr>
          <w:rFonts w:hint="eastAsia" w:ascii="Times New Roman" w:hAnsi="Times New Roman" w:cs="Times New Roman" w:eastAsiaTheme="minorEastAsia"/>
          <w:color w:val="auto"/>
          <w:highlight w:val="none"/>
          <w:lang w:eastAsia="zh-CN"/>
        </w:rPr>
        <w:t>）</w:t>
      </w:r>
      <w:r>
        <w:rPr>
          <w:rFonts w:hint="eastAsia" w:ascii="Times New Roman" w:hAnsi="Times New Roman" w:cs="Times New Roman" w:eastAsiaTheme="minorEastAsia"/>
          <w:color w:val="auto"/>
          <w:highlight w:val="none"/>
          <w:lang w:val="en-US" w:eastAsia="zh-CN"/>
        </w:rPr>
        <w:t>无组织废气</w:t>
      </w:r>
    </w:p>
    <w:p>
      <w:pPr>
        <w:pStyle w:val="39"/>
        <w:pageBreakBefore w:val="0"/>
        <w:kinsoku/>
        <w:wordWrap/>
        <w:overflowPunct/>
        <w:topLinePunct w:val="0"/>
        <w:autoSpaceDE/>
        <w:autoSpaceDN/>
        <w:bidi w:val="0"/>
        <w:adjustRightInd/>
        <w:snapToGrid/>
        <w:spacing w:before="0" w:line="360" w:lineRule="auto"/>
        <w:textAlignment w:val="auto"/>
        <w:rPr>
          <w:rFonts w:ascii="Times New Roman" w:hAnsi="Times New Roman" w:cs="Times New Roman" w:eastAsiaTheme="minorEastAsia"/>
          <w:color w:val="auto"/>
          <w:highlight w:val="none"/>
        </w:rPr>
      </w:pPr>
      <w:r>
        <w:rPr>
          <w:rFonts w:ascii="Times New Roman" w:hAnsi="Times New Roman" w:cs="Times New Roman" w:eastAsiaTheme="minorEastAsia"/>
          <w:color w:val="auto"/>
          <w:highlight w:val="none"/>
        </w:rPr>
        <w:t>项目</w:t>
      </w:r>
      <w:r>
        <w:rPr>
          <w:rFonts w:hint="eastAsia" w:ascii="Times New Roman" w:hAnsi="Times New Roman" w:cs="Times New Roman" w:eastAsiaTheme="minorEastAsia"/>
          <w:color w:val="auto"/>
          <w:highlight w:val="none"/>
          <w:lang w:eastAsia="zh-CN"/>
        </w:rPr>
        <w:t>厂区内挥发性有机物</w:t>
      </w:r>
      <w:r>
        <w:rPr>
          <w:rFonts w:ascii="Times New Roman" w:hAnsi="Times New Roman" w:cs="Times New Roman" w:eastAsiaTheme="minorEastAsia"/>
          <w:color w:val="auto"/>
          <w:highlight w:val="none"/>
        </w:rPr>
        <w:t>监测结果见表9-</w:t>
      </w:r>
      <w:r>
        <w:rPr>
          <w:rFonts w:hint="eastAsia" w:ascii="Times New Roman" w:hAnsi="Times New Roman" w:cs="Times New Roman" w:eastAsiaTheme="minorEastAsia"/>
          <w:color w:val="auto"/>
          <w:highlight w:val="none"/>
          <w:lang w:val="en-US" w:eastAsia="zh-CN"/>
        </w:rPr>
        <w:t>4</w:t>
      </w:r>
      <w:r>
        <w:rPr>
          <w:rFonts w:ascii="Times New Roman" w:hAnsi="Times New Roman" w:cs="Times New Roman" w:eastAsiaTheme="minorEastAsia"/>
          <w:color w:val="auto"/>
          <w:highlight w:val="none"/>
        </w:rPr>
        <w:t>。</w:t>
      </w:r>
    </w:p>
    <w:p>
      <w:pPr>
        <w:pStyle w:val="39"/>
        <w:pageBreakBefore w:val="0"/>
        <w:kinsoku/>
        <w:wordWrap/>
        <w:overflowPunct/>
        <w:topLinePunct w:val="0"/>
        <w:autoSpaceDE/>
        <w:autoSpaceDN/>
        <w:bidi w:val="0"/>
        <w:adjustRightInd/>
        <w:snapToGrid/>
        <w:spacing w:before="0" w:line="360" w:lineRule="auto"/>
        <w:textAlignment w:val="auto"/>
        <w:rPr>
          <w:rFonts w:hint="eastAsia" w:ascii="Times New Roman" w:hAnsi="Times New Roman" w:cs="Times New Roman" w:eastAsiaTheme="minorEastAsia"/>
          <w:color w:val="auto"/>
          <w:highlight w:val="none"/>
          <w:lang w:val="en-US" w:eastAsia="zh-CN"/>
        </w:rPr>
      </w:pPr>
      <w:r>
        <w:rPr>
          <w:rFonts w:ascii="Times New Roman" w:hAnsi="Times New Roman" w:cs="Times New Roman" w:eastAsiaTheme="minorEastAsia"/>
          <w:color w:val="auto"/>
          <w:highlight w:val="none"/>
        </w:rPr>
        <w:t>验收监测期间（</w:t>
      </w:r>
      <w:r>
        <w:rPr>
          <w:rFonts w:hint="eastAsia" w:ascii="Times New Roman" w:hAnsi="Times New Roman" w:cs="Times New Roman" w:eastAsiaTheme="minorEastAsia"/>
          <w:color w:val="auto"/>
          <w:highlight w:val="none"/>
          <w:lang w:eastAsia="zh-CN"/>
        </w:rPr>
        <w:t>2022年1月11日~1月12日</w:t>
      </w:r>
      <w:r>
        <w:rPr>
          <w:rFonts w:ascii="Times New Roman" w:hAnsi="Times New Roman" w:cs="Times New Roman" w:eastAsiaTheme="minorEastAsia"/>
          <w:color w:val="auto"/>
          <w:highlight w:val="none"/>
        </w:rPr>
        <w:t>），厂房一车间外1m监测点</w:t>
      </w:r>
      <w:r>
        <w:rPr>
          <w:rFonts w:hint="eastAsia" w:ascii="Times New Roman" w:hAnsi="Times New Roman" w:cs="Times New Roman" w:eastAsiaTheme="minorEastAsia"/>
          <w:color w:val="auto"/>
          <w:highlight w:val="none"/>
          <w:lang w:eastAsia="zh-CN"/>
        </w:rPr>
        <w:t>和</w:t>
      </w:r>
      <w:r>
        <w:rPr>
          <w:rFonts w:ascii="Times New Roman" w:hAnsi="Times New Roman" w:cs="Times New Roman" w:eastAsiaTheme="minorEastAsia"/>
          <w:color w:val="auto"/>
          <w:highlight w:val="none"/>
        </w:rPr>
        <w:t>厂房二车间外1m监测点</w:t>
      </w:r>
      <w:r>
        <w:rPr>
          <w:rFonts w:hint="eastAsia" w:ascii="Times New Roman" w:hAnsi="Times New Roman" w:cs="Times New Roman" w:eastAsiaTheme="minorEastAsia"/>
          <w:color w:val="auto"/>
          <w:highlight w:val="none"/>
          <w:lang w:eastAsia="zh-CN"/>
        </w:rPr>
        <w:t>非甲烷总烃监控值均符合</w:t>
      </w:r>
      <w:r>
        <w:rPr>
          <w:rFonts w:hint="default" w:ascii="Times New Roman" w:hAnsi="Times New Roman" w:cs="Times New Roman" w:eastAsiaTheme="minorEastAsia"/>
          <w:color w:val="auto"/>
          <w:highlight w:val="none"/>
          <w:lang w:val="en-US" w:eastAsia="zh-CN"/>
        </w:rPr>
        <w:t>《挥发性有机物无组织排放控制标准》（GB37822-2019）</w:t>
      </w:r>
      <w:r>
        <w:rPr>
          <w:rFonts w:hint="eastAsia" w:ascii="Times New Roman" w:hAnsi="Times New Roman" w:cs="Times New Roman" w:eastAsiaTheme="minorEastAsia"/>
          <w:color w:val="auto"/>
          <w:highlight w:val="none"/>
          <w:lang w:val="en-US" w:eastAsia="zh-CN"/>
        </w:rPr>
        <w:t>表A.1</w:t>
      </w:r>
      <w:r>
        <w:rPr>
          <w:rFonts w:hint="default" w:ascii="Times New Roman" w:hAnsi="Times New Roman" w:cs="Times New Roman" w:eastAsiaTheme="minorEastAsia"/>
          <w:color w:val="auto"/>
          <w:highlight w:val="none"/>
          <w:lang w:val="en-US" w:eastAsia="zh-CN"/>
        </w:rPr>
        <w:t>规定的特别排放限值</w:t>
      </w:r>
      <w:r>
        <w:rPr>
          <w:rFonts w:hint="eastAsia" w:ascii="Times New Roman" w:hAnsi="Times New Roman" w:cs="Times New Roman" w:eastAsiaTheme="minorEastAsia"/>
          <w:color w:val="auto"/>
          <w:highlight w:val="none"/>
          <w:lang w:val="en-US" w:eastAsia="zh-CN"/>
        </w:rPr>
        <w:t>。</w:t>
      </w:r>
    </w:p>
    <w:p>
      <w:pPr>
        <w:pStyle w:val="39"/>
        <w:pageBreakBefore w:val="0"/>
        <w:kinsoku/>
        <w:wordWrap/>
        <w:overflowPunct/>
        <w:topLinePunct w:val="0"/>
        <w:autoSpaceDE/>
        <w:autoSpaceDN/>
        <w:bidi w:val="0"/>
        <w:adjustRightInd/>
        <w:snapToGrid/>
        <w:spacing w:before="0" w:line="360" w:lineRule="auto"/>
        <w:textAlignment w:val="auto"/>
        <w:rPr>
          <w:rFonts w:hint="default" w:ascii="Times New Roman" w:hAnsi="Times New Roman" w:cs="Times New Roman" w:eastAsiaTheme="minorEastAsia"/>
          <w:color w:val="auto"/>
          <w:highlight w:val="none"/>
          <w:lang w:val="en-US" w:eastAsia="zh-CN"/>
        </w:rPr>
      </w:pPr>
      <w:r>
        <w:rPr>
          <w:rFonts w:ascii="Times New Roman" w:hAnsi="Times New Roman" w:cs="Times New Roman" w:eastAsiaTheme="minorEastAsia"/>
          <w:color w:val="auto"/>
          <w:highlight w:val="none"/>
        </w:rPr>
        <w:t>项目</w:t>
      </w:r>
      <w:r>
        <w:rPr>
          <w:rFonts w:hint="eastAsia" w:ascii="Times New Roman" w:hAnsi="Times New Roman" w:cs="Times New Roman" w:eastAsiaTheme="minorEastAsia"/>
          <w:color w:val="auto"/>
          <w:highlight w:val="none"/>
        </w:rPr>
        <w:t>无</w:t>
      </w:r>
      <w:r>
        <w:rPr>
          <w:rFonts w:ascii="Times New Roman" w:hAnsi="Times New Roman" w:cs="Times New Roman" w:eastAsiaTheme="minorEastAsia"/>
          <w:color w:val="auto"/>
          <w:highlight w:val="none"/>
        </w:rPr>
        <w:t>组织废气监测监测结果见表9-</w:t>
      </w:r>
      <w:r>
        <w:rPr>
          <w:rFonts w:hint="eastAsia" w:ascii="Times New Roman" w:hAnsi="Times New Roman" w:cs="Times New Roman" w:eastAsiaTheme="minorEastAsia"/>
          <w:color w:val="auto"/>
          <w:highlight w:val="none"/>
          <w:lang w:val="en-US" w:eastAsia="zh-CN"/>
        </w:rPr>
        <w:t>5</w:t>
      </w:r>
      <w:r>
        <w:rPr>
          <w:rFonts w:hint="eastAsia" w:ascii="Times New Roman" w:hAnsi="Times New Roman" w:cs="Times New Roman" w:eastAsiaTheme="minorEastAsia"/>
          <w:color w:val="auto"/>
          <w:highlight w:val="none"/>
          <w:lang w:eastAsia="zh-CN"/>
        </w:rPr>
        <w:t>，</w:t>
      </w:r>
      <w:r>
        <w:rPr>
          <w:rFonts w:hint="eastAsia" w:ascii="Times New Roman" w:hAnsi="Times New Roman" w:cs="Times New Roman" w:eastAsiaTheme="minorEastAsia"/>
          <w:color w:val="auto"/>
          <w:highlight w:val="none"/>
          <w:lang w:val="en-US" w:eastAsia="zh-CN"/>
        </w:rPr>
        <w:t>气象参数表见表9-6。</w:t>
      </w:r>
    </w:p>
    <w:p>
      <w:pPr>
        <w:pStyle w:val="39"/>
        <w:pageBreakBefore w:val="0"/>
        <w:kinsoku/>
        <w:wordWrap/>
        <w:overflowPunct/>
        <w:topLinePunct w:val="0"/>
        <w:autoSpaceDE/>
        <w:autoSpaceDN/>
        <w:bidi w:val="0"/>
        <w:adjustRightInd/>
        <w:snapToGrid/>
        <w:spacing w:before="0" w:line="360" w:lineRule="auto"/>
        <w:textAlignment w:val="auto"/>
        <w:rPr>
          <w:rFonts w:hint="eastAsia" w:ascii="Times New Roman" w:hAnsi="Times New Roman" w:cs="Times New Roman" w:eastAsiaTheme="minorEastAsia"/>
          <w:color w:val="auto"/>
          <w:highlight w:val="none"/>
        </w:rPr>
      </w:pPr>
      <w:r>
        <w:rPr>
          <w:rFonts w:ascii="Times New Roman" w:hAnsi="Times New Roman" w:cs="Times New Roman" w:eastAsiaTheme="minorEastAsia"/>
          <w:color w:val="auto"/>
          <w:highlight w:val="none"/>
        </w:rPr>
        <w:t>验收监测期间（</w:t>
      </w:r>
      <w:r>
        <w:rPr>
          <w:rFonts w:hint="eastAsia" w:ascii="Times New Roman" w:hAnsi="Times New Roman" w:cs="Times New Roman" w:eastAsiaTheme="minorEastAsia"/>
          <w:color w:val="auto"/>
          <w:highlight w:val="none"/>
          <w:lang w:eastAsia="zh-CN"/>
        </w:rPr>
        <w:t>2022年1月11日~1月12日</w:t>
      </w:r>
      <w:r>
        <w:rPr>
          <w:rFonts w:ascii="Times New Roman" w:hAnsi="Times New Roman" w:cs="Times New Roman" w:eastAsiaTheme="minorEastAsia"/>
          <w:color w:val="auto"/>
          <w:highlight w:val="none"/>
        </w:rPr>
        <w:t>），</w:t>
      </w:r>
      <w:r>
        <w:rPr>
          <w:rFonts w:hint="eastAsia" w:ascii="Times New Roman" w:hAnsi="Times New Roman" w:cs="Times New Roman" w:eastAsiaTheme="minorEastAsia"/>
          <w:color w:val="auto"/>
          <w:highlight w:val="none"/>
        </w:rPr>
        <w:t>企业上下风向总悬浮颗粒物</w:t>
      </w:r>
      <w:r>
        <w:rPr>
          <w:rFonts w:hint="eastAsia" w:ascii="Times New Roman" w:hAnsi="Times New Roman" w:cs="Times New Roman" w:eastAsiaTheme="minorEastAsia"/>
          <w:color w:val="auto"/>
          <w:highlight w:val="none"/>
          <w:lang w:eastAsia="zh-CN"/>
        </w:rPr>
        <w:t>、非甲烷总烃、氟化物</w:t>
      </w:r>
      <w:r>
        <w:rPr>
          <w:rFonts w:hint="eastAsia" w:ascii="Times New Roman" w:hAnsi="Times New Roman" w:cs="Times New Roman" w:eastAsiaTheme="minorEastAsia"/>
          <w:color w:val="auto"/>
          <w:highlight w:val="none"/>
        </w:rPr>
        <w:t>监控值</w:t>
      </w:r>
      <w:r>
        <w:rPr>
          <w:rFonts w:ascii="Times New Roman" w:hAnsi="Times New Roman" w:cs="Times New Roman" w:eastAsiaTheme="minorEastAsia"/>
          <w:color w:val="auto"/>
          <w:highlight w:val="none"/>
        </w:rPr>
        <w:t>符合《大气污染物综合排放标准》（GB16297-1996）</w:t>
      </w:r>
      <w:r>
        <w:rPr>
          <w:rFonts w:hint="eastAsia" w:ascii="Times New Roman" w:hAnsi="Times New Roman" w:cs="Times New Roman" w:eastAsiaTheme="minorEastAsia"/>
          <w:color w:val="auto"/>
          <w:highlight w:val="none"/>
        </w:rPr>
        <w:t>无组织排放标准。</w:t>
      </w:r>
    </w:p>
    <w:p>
      <w:pPr>
        <w:keepNext w:val="0"/>
        <w:keepLines w:val="0"/>
        <w:pageBreakBefore w:val="0"/>
        <w:kinsoku/>
        <w:wordWrap/>
        <w:overflowPunct/>
        <w:topLinePunct w:val="0"/>
        <w:autoSpaceDE/>
        <w:autoSpaceDN/>
        <w:bidi w:val="0"/>
        <w:adjustRightInd/>
        <w:snapToGrid/>
        <w:spacing w:line="360" w:lineRule="auto"/>
        <w:ind w:left="0" w:leftChars="0"/>
        <w:textAlignment w:val="auto"/>
        <w:rPr>
          <w:rFonts w:ascii="Times New Roman" w:hAnsi="Times New Roman" w:cs="Times New Roman"/>
          <w:b/>
          <w:color w:val="auto"/>
          <w:sz w:val="24"/>
          <w:szCs w:val="24"/>
          <w:highlight w:val="none"/>
        </w:rPr>
      </w:pPr>
      <w:r>
        <w:rPr>
          <w:rFonts w:ascii="Times New Roman" w:hAnsi="Times New Roman" w:cs="Times New Roman"/>
          <w:b/>
          <w:color w:val="auto"/>
          <w:sz w:val="24"/>
          <w:szCs w:val="24"/>
          <w:highlight w:val="none"/>
        </w:rPr>
        <w:t>9.2.1.3噪声</w:t>
      </w:r>
    </w:p>
    <w:p>
      <w:pPr>
        <w:pStyle w:val="39"/>
        <w:keepNext w:val="0"/>
        <w:keepLines w:val="0"/>
        <w:pageBreakBefore w:val="0"/>
        <w:kinsoku/>
        <w:wordWrap/>
        <w:overflowPunct/>
        <w:topLinePunct w:val="0"/>
        <w:autoSpaceDE/>
        <w:autoSpaceDN/>
        <w:bidi w:val="0"/>
        <w:adjustRightInd/>
        <w:snapToGrid/>
        <w:spacing w:before="0" w:line="360" w:lineRule="auto"/>
        <w:ind w:left="0" w:leftChars="0" w:firstLine="480" w:firstLineChars="200"/>
        <w:textAlignment w:val="auto"/>
        <w:rPr>
          <w:rFonts w:ascii="Times New Roman" w:hAnsi="Times New Roman" w:cs="Times New Roman" w:eastAsiaTheme="minorEastAsia"/>
          <w:color w:val="auto"/>
          <w:highlight w:val="none"/>
        </w:rPr>
      </w:pPr>
      <w:r>
        <w:rPr>
          <w:rFonts w:ascii="Times New Roman" w:hAnsi="Times New Roman" w:cs="Times New Roman" w:eastAsiaTheme="minorEastAsia"/>
          <w:color w:val="auto"/>
          <w:highlight w:val="none"/>
        </w:rPr>
        <w:t>项目噪声监测结果见表9-</w:t>
      </w:r>
      <w:r>
        <w:rPr>
          <w:rFonts w:hint="eastAsia" w:ascii="Times New Roman" w:hAnsi="Times New Roman" w:cs="Times New Roman" w:eastAsiaTheme="minorEastAsia"/>
          <w:color w:val="auto"/>
          <w:highlight w:val="none"/>
          <w:lang w:val="en-US" w:eastAsia="zh-CN"/>
        </w:rPr>
        <w:t>7</w:t>
      </w:r>
      <w:r>
        <w:rPr>
          <w:rFonts w:ascii="Times New Roman" w:hAnsi="Times New Roman" w:cs="Times New Roman" w:eastAsiaTheme="minorEastAsia"/>
          <w:color w:val="auto"/>
          <w:highlight w:val="none"/>
        </w:rPr>
        <w:t>。</w:t>
      </w:r>
    </w:p>
    <w:p>
      <w:pPr>
        <w:keepNext w:val="0"/>
        <w:keepLines w:val="0"/>
        <w:pageBreakBefore w:val="0"/>
        <w:widowControl/>
        <w:kinsoku/>
        <w:wordWrap/>
        <w:overflowPunct/>
        <w:topLinePunct w:val="0"/>
        <w:autoSpaceDE/>
        <w:autoSpaceDN/>
        <w:bidi w:val="0"/>
        <w:adjustRightInd/>
        <w:snapToGrid/>
        <w:spacing w:line="360" w:lineRule="auto"/>
        <w:ind w:left="0" w:leftChars="0" w:firstLine="480" w:firstLineChars="200"/>
        <w:jc w:val="left"/>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验收监测期间</w:t>
      </w:r>
      <w:r>
        <w:rPr>
          <w:rFonts w:ascii="Times New Roman" w:hAnsi="Times New Roman" w:cs="Times New Roman"/>
          <w:bCs/>
          <w:color w:val="auto"/>
          <w:sz w:val="24"/>
          <w:szCs w:val="24"/>
          <w:highlight w:val="none"/>
        </w:rPr>
        <w:t>（</w:t>
      </w:r>
      <w:r>
        <w:rPr>
          <w:rFonts w:hint="eastAsia" w:ascii="Times New Roman" w:hAnsi="Times New Roman" w:cs="Times New Roman"/>
          <w:bCs/>
          <w:color w:val="auto"/>
          <w:sz w:val="24"/>
          <w:szCs w:val="24"/>
          <w:highlight w:val="none"/>
          <w:lang w:eastAsia="zh-CN"/>
        </w:rPr>
        <w:t>2022年1月11日~1月12日</w:t>
      </w:r>
      <w:r>
        <w:rPr>
          <w:rFonts w:ascii="Times New Roman" w:hAnsi="Times New Roman" w:cs="Times New Roman"/>
          <w:bCs/>
          <w:color w:val="auto"/>
          <w:sz w:val="24"/>
          <w:szCs w:val="24"/>
          <w:highlight w:val="none"/>
        </w:rPr>
        <w:t>），</w:t>
      </w:r>
      <w:r>
        <w:rPr>
          <w:rFonts w:hint="eastAsia" w:ascii="Times New Roman" w:hAnsi="Times New Roman" w:cs="Times New Roman"/>
          <w:color w:val="auto"/>
          <w:sz w:val="24"/>
          <w:szCs w:val="24"/>
          <w:highlight w:val="none"/>
        </w:rPr>
        <w:t>企业</w:t>
      </w:r>
      <w:r>
        <w:rPr>
          <w:rFonts w:ascii="Times New Roman" w:hAnsi="Times New Roman" w:cs="Times New Roman"/>
          <w:color w:val="auto"/>
          <w:sz w:val="24"/>
          <w:szCs w:val="24"/>
          <w:highlight w:val="none"/>
        </w:rPr>
        <w:t>厂界四周昼</w:t>
      </w:r>
      <w:r>
        <w:rPr>
          <w:rFonts w:hint="eastAsia" w:ascii="Times New Roman" w:hAnsi="Times New Roman" w:cs="Times New Roman"/>
          <w:color w:val="auto"/>
          <w:sz w:val="24"/>
          <w:szCs w:val="24"/>
          <w:highlight w:val="none"/>
          <w:lang w:eastAsia="zh-CN"/>
        </w:rPr>
        <w:t>夜</w:t>
      </w:r>
      <w:r>
        <w:rPr>
          <w:rFonts w:ascii="Times New Roman" w:hAnsi="Times New Roman" w:cs="Times New Roman"/>
          <w:color w:val="auto"/>
          <w:sz w:val="24"/>
          <w:szCs w:val="24"/>
          <w:highlight w:val="none"/>
        </w:rPr>
        <w:t>噪声均符合《工业企业厂界环境噪声排放标准》（GB12348-2008）中的2类标准。</w:t>
      </w:r>
    </w:p>
    <w:p>
      <w:pPr>
        <w:pStyle w:val="39"/>
        <w:pageBreakBefore w:val="0"/>
        <w:kinsoku/>
        <w:wordWrap/>
        <w:overflowPunct/>
        <w:topLinePunct w:val="0"/>
        <w:autoSpaceDE/>
        <w:autoSpaceDN/>
        <w:bidi w:val="0"/>
        <w:adjustRightInd/>
        <w:snapToGrid/>
        <w:spacing w:before="0" w:line="360" w:lineRule="auto"/>
        <w:textAlignment w:val="auto"/>
        <w:rPr>
          <w:rFonts w:hint="eastAsia" w:ascii="Times New Roman" w:hAnsi="Times New Roman" w:cs="Times New Roman" w:eastAsiaTheme="minorEastAsia"/>
          <w:color w:val="auto"/>
          <w:highlight w:val="none"/>
          <w:lang w:val="en-US" w:eastAsia="zh-CN"/>
        </w:rPr>
        <w:sectPr>
          <w:pgSz w:w="11906" w:h="16838"/>
          <w:pgMar w:top="1440" w:right="1803" w:bottom="1440" w:left="1803" w:header="680" w:footer="992" w:gutter="0"/>
          <w:pgBorders>
            <w:top w:val="none" w:sz="0" w:space="0"/>
            <w:left w:val="none" w:sz="0" w:space="0"/>
            <w:bottom w:val="none" w:sz="0" w:space="0"/>
            <w:right w:val="none" w:sz="0" w:space="0"/>
          </w:pgBorders>
          <w:cols w:space="0" w:num="1"/>
          <w:docGrid w:type="lines" w:linePitch="312" w:charSpace="0"/>
        </w:sectPr>
      </w:pPr>
    </w:p>
    <w:p>
      <w:pPr>
        <w:adjustRightInd w:val="0"/>
        <w:snapToGrid w:val="0"/>
        <w:ind w:firstLine="480"/>
        <w:jc w:val="center"/>
        <w:rPr>
          <w:rFonts w:ascii="Times New Roman" w:hAnsi="Times New Roman"/>
          <w:b/>
          <w:bCs/>
          <w:color w:val="auto"/>
          <w:sz w:val="24"/>
          <w:szCs w:val="24"/>
          <w:highlight w:val="none"/>
        </w:rPr>
      </w:pPr>
      <w:r>
        <w:rPr>
          <w:rFonts w:ascii="Times New Roman" w:hAnsi="Times New Roman"/>
          <w:b/>
          <w:bCs/>
          <w:color w:val="auto"/>
          <w:sz w:val="24"/>
          <w:szCs w:val="24"/>
          <w:highlight w:val="none"/>
        </w:rPr>
        <w:t>表</w:t>
      </w:r>
      <w:r>
        <w:rPr>
          <w:rFonts w:hint="eastAsia" w:ascii="Times New Roman" w:hAnsi="Times New Roman"/>
          <w:b/>
          <w:bCs/>
          <w:color w:val="auto"/>
          <w:sz w:val="24"/>
          <w:szCs w:val="24"/>
          <w:highlight w:val="none"/>
        </w:rPr>
        <w:t>9</w:t>
      </w:r>
      <w:r>
        <w:rPr>
          <w:rFonts w:ascii="Times New Roman" w:hAnsi="Times New Roman"/>
          <w:b/>
          <w:bCs/>
          <w:color w:val="auto"/>
          <w:sz w:val="24"/>
          <w:szCs w:val="24"/>
          <w:highlight w:val="none"/>
        </w:rPr>
        <w:t>-</w:t>
      </w:r>
      <w:r>
        <w:rPr>
          <w:rFonts w:hint="eastAsia" w:ascii="Times New Roman" w:hAnsi="Times New Roman"/>
          <w:b/>
          <w:bCs/>
          <w:color w:val="auto"/>
          <w:sz w:val="24"/>
          <w:szCs w:val="24"/>
          <w:highlight w:val="none"/>
        </w:rPr>
        <w:t>2</w:t>
      </w:r>
      <w:r>
        <w:rPr>
          <w:rFonts w:ascii="Times New Roman" w:hAnsi="Times New Roman"/>
          <w:b/>
          <w:bCs/>
          <w:color w:val="auto"/>
          <w:sz w:val="24"/>
          <w:szCs w:val="24"/>
          <w:highlight w:val="none"/>
        </w:rPr>
        <w:t>废水监测结果</w:t>
      </w:r>
    </w:p>
    <w:tbl>
      <w:tblPr>
        <w:tblStyle w:val="23"/>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97"/>
        <w:gridCol w:w="1785"/>
        <w:gridCol w:w="821"/>
        <w:gridCol w:w="1328"/>
        <w:gridCol w:w="1371"/>
        <w:gridCol w:w="1371"/>
        <w:gridCol w:w="1371"/>
        <w:gridCol w:w="1371"/>
        <w:gridCol w:w="1371"/>
        <w:gridCol w:w="13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705" w:type="pct"/>
            <w:vMerge w:val="restart"/>
            <w:tcBorders>
              <w:tl2br w:val="nil"/>
              <w:tr2bl w:val="nil"/>
            </w:tcBorders>
            <w:noWrap/>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监测点位</w:t>
            </w:r>
          </w:p>
        </w:tc>
        <w:tc>
          <w:tcPr>
            <w:tcW w:w="920" w:type="pct"/>
            <w:gridSpan w:val="2"/>
            <w:vMerge w:val="restart"/>
            <w:tcBorders>
              <w:tl2br w:val="nil"/>
              <w:tr2bl w:val="nil"/>
            </w:tcBorders>
            <w:noWrap/>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监测日期</w:t>
            </w:r>
          </w:p>
        </w:tc>
        <w:tc>
          <w:tcPr>
            <w:tcW w:w="468" w:type="pct"/>
            <w:vMerge w:val="restart"/>
            <w:tcBorders>
              <w:tl2br w:val="nil"/>
              <w:tr2bl w:val="nil"/>
            </w:tcBorders>
            <w:noWrap/>
            <w:vAlign w:val="center"/>
          </w:tcPr>
          <w:p>
            <w:pPr>
              <w:jc w:val="center"/>
              <w:rPr>
                <w:rFonts w:hint="default" w:ascii="Times New Roman" w:hAnsi="Times New Roman" w:cs="Times New Roman"/>
                <w:b/>
                <w:color w:val="auto"/>
                <w:spacing w:val="-2"/>
                <w:sz w:val="21"/>
                <w:szCs w:val="21"/>
                <w:highlight w:val="none"/>
              </w:rPr>
            </w:pPr>
            <w:r>
              <w:rPr>
                <w:rFonts w:hint="default" w:ascii="Times New Roman" w:hAnsi="Times New Roman" w:cs="Times New Roman"/>
                <w:b/>
                <w:color w:val="auto"/>
                <w:spacing w:val="-2"/>
                <w:sz w:val="21"/>
                <w:szCs w:val="21"/>
                <w:highlight w:val="none"/>
              </w:rPr>
              <w:t>样品性状</w:t>
            </w:r>
          </w:p>
        </w:tc>
        <w:tc>
          <w:tcPr>
            <w:tcW w:w="2906" w:type="pct"/>
            <w:gridSpan w:val="6"/>
            <w:tcBorders>
              <w:tl2br w:val="nil"/>
              <w:tr2bl w:val="nil"/>
            </w:tcBorders>
            <w:noWrap/>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监测结果mg/L（pH值无量纲</w:t>
            </w:r>
            <w:r>
              <w:rPr>
                <w:rFonts w:hint="default" w:ascii="Times New Roman" w:hAnsi="Times New Roman" w:cs="Times New Roman"/>
                <w:b/>
                <w:bCs/>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705" w:type="pct"/>
            <w:vMerge w:val="continue"/>
            <w:tcBorders>
              <w:tl2br w:val="nil"/>
              <w:tr2bl w:val="nil"/>
            </w:tcBorders>
            <w:noWrap/>
            <w:vAlign w:val="center"/>
          </w:tcPr>
          <w:p>
            <w:pPr>
              <w:jc w:val="center"/>
              <w:rPr>
                <w:rFonts w:hint="default" w:ascii="Times New Roman" w:hAnsi="Times New Roman" w:cs="Times New Roman"/>
                <w:b/>
                <w:color w:val="auto"/>
                <w:sz w:val="21"/>
                <w:szCs w:val="21"/>
                <w:highlight w:val="none"/>
              </w:rPr>
            </w:pPr>
          </w:p>
        </w:tc>
        <w:tc>
          <w:tcPr>
            <w:tcW w:w="920" w:type="pct"/>
            <w:gridSpan w:val="2"/>
            <w:vMerge w:val="continue"/>
            <w:tcBorders>
              <w:tl2br w:val="nil"/>
              <w:tr2bl w:val="nil"/>
            </w:tcBorders>
            <w:noWrap/>
            <w:vAlign w:val="center"/>
          </w:tcPr>
          <w:p>
            <w:pPr>
              <w:jc w:val="center"/>
              <w:rPr>
                <w:rFonts w:hint="default" w:ascii="Times New Roman" w:hAnsi="Times New Roman" w:cs="Times New Roman"/>
                <w:b/>
                <w:color w:val="auto"/>
                <w:sz w:val="21"/>
                <w:szCs w:val="21"/>
                <w:highlight w:val="none"/>
              </w:rPr>
            </w:pPr>
          </w:p>
        </w:tc>
        <w:tc>
          <w:tcPr>
            <w:tcW w:w="468" w:type="pct"/>
            <w:vMerge w:val="continue"/>
            <w:tcBorders>
              <w:tl2br w:val="nil"/>
              <w:tr2bl w:val="nil"/>
            </w:tcBorders>
            <w:noWrap/>
            <w:vAlign w:val="center"/>
          </w:tcPr>
          <w:p>
            <w:pPr>
              <w:jc w:val="center"/>
              <w:rPr>
                <w:rFonts w:hint="default" w:ascii="Times New Roman" w:hAnsi="Times New Roman" w:cs="Times New Roman"/>
                <w:b/>
                <w:color w:val="auto"/>
                <w:sz w:val="21"/>
                <w:szCs w:val="21"/>
                <w:highlight w:val="none"/>
              </w:rPr>
            </w:pPr>
          </w:p>
        </w:tc>
        <w:tc>
          <w:tcPr>
            <w:tcW w:w="484" w:type="pct"/>
            <w:tcBorders>
              <w:tl2br w:val="nil"/>
              <w:tr2bl w:val="nil"/>
            </w:tcBorders>
            <w:noWrap/>
            <w:vAlign w:val="center"/>
          </w:tcPr>
          <w:p>
            <w:pPr>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b/>
                <w:bCs/>
                <w:color w:val="auto"/>
                <w:sz w:val="21"/>
                <w:szCs w:val="21"/>
                <w:highlight w:val="none"/>
              </w:rPr>
              <w:t>pH值</w:t>
            </w:r>
          </w:p>
        </w:tc>
        <w:tc>
          <w:tcPr>
            <w:tcW w:w="484" w:type="pct"/>
            <w:tcBorders>
              <w:tl2br w:val="nil"/>
              <w:tr2bl w:val="nil"/>
            </w:tcBorders>
            <w:noWrap/>
            <w:vAlign w:val="center"/>
          </w:tcPr>
          <w:p>
            <w:pPr>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b/>
                <w:bCs/>
                <w:color w:val="auto"/>
                <w:sz w:val="21"/>
                <w:szCs w:val="21"/>
                <w:highlight w:val="none"/>
              </w:rPr>
              <w:t>悬浮物</w:t>
            </w:r>
          </w:p>
        </w:tc>
        <w:tc>
          <w:tcPr>
            <w:tcW w:w="484" w:type="pct"/>
            <w:tcBorders>
              <w:tl2br w:val="nil"/>
              <w:tr2bl w:val="nil"/>
            </w:tcBorders>
            <w:noWrap/>
            <w:vAlign w:val="center"/>
          </w:tcPr>
          <w:p>
            <w:pPr>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b/>
                <w:bCs/>
                <w:color w:val="auto"/>
                <w:sz w:val="21"/>
                <w:szCs w:val="21"/>
                <w:highlight w:val="none"/>
              </w:rPr>
              <w:t>化学需氧量</w:t>
            </w:r>
          </w:p>
        </w:tc>
        <w:tc>
          <w:tcPr>
            <w:tcW w:w="484" w:type="pct"/>
            <w:tcBorders>
              <w:tl2br w:val="nil"/>
              <w:tr2bl w:val="nil"/>
            </w:tcBorders>
            <w:noWrap/>
            <w:vAlign w:val="center"/>
          </w:tcPr>
          <w:p>
            <w:pPr>
              <w:ind w:left="2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氨氮</w:t>
            </w:r>
          </w:p>
          <w:p>
            <w:pPr>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b/>
                <w:color w:val="auto"/>
                <w:sz w:val="21"/>
                <w:szCs w:val="21"/>
                <w:highlight w:val="none"/>
              </w:rPr>
              <w:t>（以N计）</w:t>
            </w:r>
          </w:p>
        </w:tc>
        <w:tc>
          <w:tcPr>
            <w:tcW w:w="484" w:type="pct"/>
            <w:tcBorders>
              <w:tl2br w:val="nil"/>
              <w:tr2bl w:val="nil"/>
            </w:tcBorders>
            <w:noWrap/>
            <w:vAlign w:val="center"/>
          </w:tcPr>
          <w:p>
            <w:pPr>
              <w:ind w:left="20" w:leftChars="0"/>
              <w:jc w:val="center"/>
              <w:rPr>
                <w:rFonts w:hint="default" w:ascii="Times New Roman" w:hAnsi="Times New Roman" w:cs="Times New Roman" w:eastAsiaTheme="minorEastAsia"/>
                <w:b/>
                <w:color w:val="auto"/>
                <w:kern w:val="2"/>
                <w:sz w:val="21"/>
                <w:szCs w:val="21"/>
                <w:highlight w:val="none"/>
                <w:lang w:val="en-US" w:eastAsia="zh-CN" w:bidi="ar-SA"/>
              </w:rPr>
            </w:pPr>
            <w:r>
              <w:rPr>
                <w:rFonts w:hint="default" w:ascii="Times New Roman" w:hAnsi="Times New Roman" w:cs="Times New Roman"/>
                <w:b/>
                <w:color w:val="auto"/>
                <w:kern w:val="0"/>
                <w:sz w:val="21"/>
                <w:szCs w:val="21"/>
                <w:highlight w:val="none"/>
              </w:rPr>
              <w:t>总磷</w:t>
            </w:r>
          </w:p>
        </w:tc>
        <w:tc>
          <w:tcPr>
            <w:tcW w:w="486" w:type="pct"/>
            <w:tcBorders>
              <w:tl2br w:val="nil"/>
              <w:tr2bl w:val="nil"/>
            </w:tcBorders>
            <w:noWrap/>
            <w:vAlign w:val="center"/>
          </w:tcPr>
          <w:p>
            <w:pPr>
              <w:widowControl/>
              <w:jc w:val="center"/>
              <w:rPr>
                <w:rFonts w:hint="default" w:ascii="Times New Roman" w:hAnsi="Times New Roman" w:cs="Times New Roman" w:eastAsiaTheme="minorEastAsia"/>
                <w:b/>
                <w:color w:val="auto"/>
                <w:kern w:val="2"/>
                <w:sz w:val="21"/>
                <w:szCs w:val="21"/>
                <w:highlight w:val="none"/>
                <w:lang w:val="en-US" w:eastAsia="zh-CN" w:bidi="ar-SA"/>
              </w:rPr>
            </w:pPr>
            <w:r>
              <w:rPr>
                <w:rFonts w:hint="default" w:ascii="Times New Roman" w:hAnsi="Times New Roman" w:cs="Times New Roman"/>
                <w:b/>
                <w:color w:val="auto"/>
                <w:kern w:val="0"/>
                <w:sz w:val="21"/>
                <w:szCs w:val="21"/>
                <w:highlight w:val="none"/>
              </w:rPr>
              <w:t>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705" w:type="pct"/>
            <w:vMerge w:val="restart"/>
            <w:tcBorders>
              <w:tl2br w:val="nil"/>
              <w:tr2bl w:val="nil"/>
            </w:tcBorders>
            <w:noWrap/>
            <w:vAlign w:val="center"/>
          </w:tcPr>
          <w:p>
            <w:pPr>
              <w:spacing w:line="252" w:lineRule="exact"/>
              <w:ind w:left="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★1#生产废水进口</w:t>
            </w:r>
          </w:p>
        </w:tc>
        <w:tc>
          <w:tcPr>
            <w:tcW w:w="630" w:type="pct"/>
            <w:tcBorders>
              <w:tl2br w:val="nil"/>
              <w:tr2bl w:val="nil"/>
            </w:tcBorders>
            <w:noWrap/>
            <w:vAlign w:val="center"/>
          </w:tcPr>
          <w:p>
            <w:pPr>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2022-01-11</w:t>
            </w:r>
          </w:p>
        </w:tc>
        <w:tc>
          <w:tcPr>
            <w:tcW w:w="289" w:type="pct"/>
            <w:tcBorders>
              <w:tl2br w:val="nil"/>
              <w:tr2bl w:val="nil"/>
            </w:tcBorders>
            <w:noWrap/>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08:18</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浅黄澄清</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7.7</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9</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58</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3.96</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0.11</w:t>
            </w:r>
          </w:p>
        </w:tc>
        <w:tc>
          <w:tcPr>
            <w:tcW w:w="48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705" w:type="pct"/>
            <w:vMerge w:val="continue"/>
            <w:tcBorders>
              <w:tl2br w:val="nil"/>
              <w:tr2bl w:val="nil"/>
            </w:tcBorders>
            <w:noWrap/>
            <w:vAlign w:val="center"/>
          </w:tcPr>
          <w:p>
            <w:pPr>
              <w:spacing w:line="252" w:lineRule="exact"/>
              <w:ind w:left="20"/>
              <w:jc w:val="center"/>
              <w:rPr>
                <w:rFonts w:hint="default" w:ascii="Times New Roman" w:hAnsi="Times New Roman" w:cs="Times New Roman"/>
                <w:color w:val="auto"/>
                <w:sz w:val="21"/>
                <w:szCs w:val="21"/>
                <w:highlight w:val="none"/>
              </w:rPr>
            </w:pPr>
          </w:p>
        </w:tc>
        <w:tc>
          <w:tcPr>
            <w:tcW w:w="630" w:type="pct"/>
            <w:tcBorders>
              <w:tl2br w:val="nil"/>
              <w:tr2bl w:val="nil"/>
            </w:tcBorders>
            <w:noWrap/>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2022-01-12</w:t>
            </w:r>
          </w:p>
        </w:tc>
        <w:tc>
          <w:tcPr>
            <w:tcW w:w="289" w:type="pct"/>
            <w:tcBorders>
              <w:tl2br w:val="nil"/>
              <w:tr2bl w:val="nil"/>
            </w:tcBorders>
            <w:noWrap/>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08:32</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浅黄澄清</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7.8</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10</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61</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3.69</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0.12</w:t>
            </w:r>
          </w:p>
        </w:tc>
        <w:tc>
          <w:tcPr>
            <w:tcW w:w="48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705" w:type="pct"/>
            <w:vMerge w:val="restart"/>
            <w:tcBorders>
              <w:tl2br w:val="nil"/>
              <w:tr2bl w:val="nil"/>
            </w:tcBorders>
            <w:noWrap/>
            <w:vAlign w:val="center"/>
          </w:tcPr>
          <w:p>
            <w:pPr>
              <w:spacing w:line="252" w:lineRule="exact"/>
              <w:ind w:left="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★2#生产废水出口</w:t>
            </w:r>
          </w:p>
        </w:tc>
        <w:tc>
          <w:tcPr>
            <w:tcW w:w="630" w:type="pct"/>
            <w:vMerge w:val="restart"/>
            <w:tcBorders>
              <w:tl2br w:val="nil"/>
              <w:tr2bl w:val="nil"/>
            </w:tcBorders>
            <w:noWrap/>
            <w:vAlign w:val="center"/>
          </w:tcPr>
          <w:p>
            <w:pPr>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2022-01-11</w:t>
            </w:r>
          </w:p>
        </w:tc>
        <w:tc>
          <w:tcPr>
            <w:tcW w:w="289" w:type="pct"/>
            <w:tcBorders>
              <w:tl2br w:val="nil"/>
              <w:tr2bl w:val="nil"/>
            </w:tcBorders>
            <w:noWrap/>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08:22</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浅黄澄清</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7.7</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4</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18</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0.266</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0.05</w:t>
            </w:r>
          </w:p>
        </w:tc>
        <w:tc>
          <w:tcPr>
            <w:tcW w:w="48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5"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630"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289" w:type="pct"/>
            <w:tcBorders>
              <w:tl2br w:val="nil"/>
              <w:tr2bl w:val="nil"/>
            </w:tcBorders>
            <w:noWrap/>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09:07</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浅黄澄清</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7.7</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5</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16</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0.339</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0.04</w:t>
            </w:r>
          </w:p>
        </w:tc>
        <w:tc>
          <w:tcPr>
            <w:tcW w:w="48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5"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630"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289" w:type="pct"/>
            <w:tcBorders>
              <w:tl2br w:val="nil"/>
              <w:tr2bl w:val="nil"/>
            </w:tcBorders>
            <w:noWrap/>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10:11</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浅黄澄清</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7.7</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5</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19</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0.296</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0.04</w:t>
            </w:r>
          </w:p>
        </w:tc>
        <w:tc>
          <w:tcPr>
            <w:tcW w:w="48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5"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630"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758" w:type="pct"/>
            <w:gridSpan w:val="2"/>
            <w:tcBorders>
              <w:tl2br w:val="nil"/>
              <w:tr2bl w:val="nil"/>
            </w:tcBorders>
            <w:noWrap/>
            <w:vAlign w:val="center"/>
          </w:tcPr>
          <w:p>
            <w:pPr>
              <w:spacing w:line="252" w:lineRule="exact"/>
              <w:ind w:left="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日均值（范围）</w:t>
            </w:r>
          </w:p>
        </w:tc>
        <w:tc>
          <w:tcPr>
            <w:tcW w:w="484"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7.7-7.8</w:t>
            </w:r>
          </w:p>
        </w:tc>
        <w:tc>
          <w:tcPr>
            <w:tcW w:w="484"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84"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18</w:t>
            </w:r>
          </w:p>
        </w:tc>
        <w:tc>
          <w:tcPr>
            <w:tcW w:w="484"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0.300</w:t>
            </w:r>
          </w:p>
        </w:tc>
        <w:tc>
          <w:tcPr>
            <w:tcW w:w="484"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0.04</w:t>
            </w:r>
          </w:p>
        </w:tc>
        <w:tc>
          <w:tcPr>
            <w:tcW w:w="486"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5"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630" w:type="pct"/>
            <w:vMerge w:val="restart"/>
            <w:tcBorders>
              <w:tl2br w:val="nil"/>
              <w:tr2bl w:val="nil"/>
            </w:tcBorders>
            <w:noWrap/>
            <w:vAlign w:val="center"/>
          </w:tcPr>
          <w:p>
            <w:pPr>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2022-01-12</w:t>
            </w:r>
          </w:p>
        </w:tc>
        <w:tc>
          <w:tcPr>
            <w:tcW w:w="289" w:type="pct"/>
            <w:tcBorders>
              <w:tl2br w:val="nil"/>
              <w:tr2bl w:val="nil"/>
            </w:tcBorders>
            <w:noWrap/>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08:38</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浅黄澄清</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7.7</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5</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16</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0.284</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0.06</w:t>
            </w:r>
          </w:p>
        </w:tc>
        <w:tc>
          <w:tcPr>
            <w:tcW w:w="48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5"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630"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289" w:type="pct"/>
            <w:tcBorders>
              <w:tl2br w:val="nil"/>
              <w:tr2bl w:val="nil"/>
            </w:tcBorders>
            <w:noWrap/>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09:46</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浅黄澄清</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7.7</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6</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15</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0.330</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0.06</w:t>
            </w:r>
          </w:p>
        </w:tc>
        <w:tc>
          <w:tcPr>
            <w:tcW w:w="48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5"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630"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289" w:type="pct"/>
            <w:tcBorders>
              <w:tl2br w:val="nil"/>
              <w:tr2bl w:val="nil"/>
            </w:tcBorders>
            <w:noWrap/>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10:32</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浅黄澄清</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7.6</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5</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17</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0.401</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0.07</w:t>
            </w:r>
          </w:p>
        </w:tc>
        <w:tc>
          <w:tcPr>
            <w:tcW w:w="48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5"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630"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758" w:type="pct"/>
            <w:gridSpan w:val="2"/>
            <w:tcBorders>
              <w:tl2br w:val="nil"/>
              <w:tr2bl w:val="nil"/>
            </w:tcBorders>
            <w:noWrap/>
            <w:vAlign w:val="center"/>
          </w:tcPr>
          <w:p>
            <w:pPr>
              <w:spacing w:line="252" w:lineRule="exact"/>
              <w:ind w:left="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日均值（范围）</w:t>
            </w:r>
          </w:p>
        </w:tc>
        <w:tc>
          <w:tcPr>
            <w:tcW w:w="484"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7.6-7.7</w:t>
            </w:r>
          </w:p>
        </w:tc>
        <w:tc>
          <w:tcPr>
            <w:tcW w:w="484"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84"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w:t>
            </w:r>
          </w:p>
        </w:tc>
        <w:tc>
          <w:tcPr>
            <w:tcW w:w="484"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0.338</w:t>
            </w:r>
          </w:p>
        </w:tc>
        <w:tc>
          <w:tcPr>
            <w:tcW w:w="484"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0.06</w:t>
            </w:r>
          </w:p>
        </w:tc>
        <w:tc>
          <w:tcPr>
            <w:tcW w:w="486"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93" w:type="pct"/>
            <w:gridSpan w:val="4"/>
            <w:tcBorders>
              <w:tl2br w:val="nil"/>
              <w:tr2bl w:val="nil"/>
            </w:tcBorders>
            <w:noWrap/>
            <w:vAlign w:val="center"/>
          </w:tcPr>
          <w:p>
            <w:pPr>
              <w:spacing w:line="252" w:lineRule="exact"/>
              <w:ind w:left="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监测期间最大日均值</w:t>
            </w:r>
          </w:p>
        </w:tc>
        <w:tc>
          <w:tcPr>
            <w:tcW w:w="484"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7.6-7.8</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18</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0.338</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0.06</w:t>
            </w:r>
          </w:p>
        </w:tc>
        <w:tc>
          <w:tcPr>
            <w:tcW w:w="486" w:type="pct"/>
            <w:tcBorders>
              <w:tl2br w:val="nil"/>
              <w:tr2bl w:val="nil"/>
            </w:tcBorders>
            <w:noWrap/>
            <w:vAlign w:val="center"/>
          </w:tcPr>
          <w:p>
            <w:pPr>
              <w:spacing w:line="252" w:lineRule="exact"/>
              <w:ind w:left="2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93" w:type="pct"/>
            <w:gridSpan w:val="4"/>
            <w:tcBorders>
              <w:tl2br w:val="nil"/>
              <w:tr2bl w:val="nil"/>
            </w:tcBorders>
            <w:noWrap/>
            <w:vAlign w:val="center"/>
          </w:tcPr>
          <w:p>
            <w:pPr>
              <w:spacing w:line="252" w:lineRule="exact"/>
              <w:ind w:left="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标准限值</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6～9</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≤400</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≤500</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≤35</w:t>
            </w:r>
          </w:p>
        </w:tc>
        <w:tc>
          <w:tcPr>
            <w:tcW w:w="484"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≤8</w:t>
            </w:r>
          </w:p>
        </w:tc>
        <w:tc>
          <w:tcPr>
            <w:tcW w:w="48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10"/>
            <w:tcBorders>
              <w:tl2br w:val="nil"/>
              <w:tr2bl w:val="nil"/>
            </w:tcBorders>
            <w:noWrap/>
            <w:vAlign w:val="center"/>
          </w:tcPr>
          <w:p>
            <w:pPr>
              <w:spacing w:line="252" w:lineRule="exact"/>
              <w:ind w:left="2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zh-CN"/>
              </w:rPr>
              <w:t>注：数据引用浙江中一检测研究院股份有限公司检测报告</w:t>
            </w:r>
            <w:r>
              <w:rPr>
                <w:rFonts w:hint="eastAsia" w:ascii="Times New Roman" w:hAnsi="Times New Roman" w:cs="Times New Roman"/>
                <w:color w:val="auto"/>
                <w:kern w:val="0"/>
                <w:sz w:val="21"/>
                <w:szCs w:val="21"/>
                <w:highlight w:val="none"/>
                <w:lang w:bidi="zh-CN"/>
              </w:rPr>
              <w:t>HJ220125</w:t>
            </w:r>
            <w:r>
              <w:rPr>
                <w:rFonts w:hint="default" w:ascii="Times New Roman" w:hAnsi="Times New Roman" w:cs="Times New Roman"/>
                <w:color w:val="auto"/>
                <w:kern w:val="0"/>
                <w:sz w:val="21"/>
                <w:szCs w:val="21"/>
                <w:highlight w:val="none"/>
                <w:lang w:bidi="zh-CN"/>
              </w:rPr>
              <w:t>。</w:t>
            </w:r>
          </w:p>
        </w:tc>
      </w:tr>
    </w:tbl>
    <w:p>
      <w:pPr>
        <w:widowControl/>
        <w:jc w:val="center"/>
        <w:rPr>
          <w:rFonts w:ascii="Times New Roman" w:hAnsi="Times New Roman" w:cs="Times New Roman"/>
          <w:b/>
          <w:bCs/>
          <w:color w:val="auto"/>
          <w:sz w:val="24"/>
          <w:szCs w:val="24"/>
          <w:highlight w:val="none"/>
        </w:rPr>
      </w:pPr>
    </w:p>
    <w:p>
      <w:pPr>
        <w:widowControl/>
        <w:jc w:val="center"/>
        <w:rPr>
          <w:rFonts w:ascii="Times New Roman" w:hAnsi="Times New Roman" w:cs="Times New Roman"/>
          <w:b/>
          <w:bCs/>
          <w:color w:val="auto"/>
          <w:sz w:val="24"/>
          <w:szCs w:val="24"/>
          <w:highlight w:val="none"/>
        </w:rPr>
      </w:pPr>
    </w:p>
    <w:p>
      <w:pPr>
        <w:adjustRightInd w:val="0"/>
        <w:snapToGrid w:val="0"/>
        <w:ind w:firstLine="480"/>
        <w:jc w:val="center"/>
        <w:rPr>
          <w:rFonts w:ascii="Times New Roman" w:hAnsi="Times New Roman"/>
          <w:b/>
          <w:bCs/>
          <w:color w:val="auto"/>
          <w:sz w:val="24"/>
          <w:szCs w:val="24"/>
          <w:highlight w:val="none"/>
        </w:rPr>
      </w:pPr>
      <w:r>
        <w:rPr>
          <w:rFonts w:hint="eastAsia" w:ascii="Times New Roman" w:hAnsi="Times New Roman"/>
          <w:b/>
          <w:bCs/>
          <w:color w:val="auto"/>
          <w:sz w:val="24"/>
          <w:szCs w:val="24"/>
          <w:highlight w:val="none"/>
          <w:lang w:val="en-US" w:eastAsia="zh-CN"/>
        </w:rPr>
        <w:t>续</w:t>
      </w:r>
      <w:r>
        <w:rPr>
          <w:rFonts w:ascii="Times New Roman" w:hAnsi="Times New Roman"/>
          <w:b/>
          <w:bCs/>
          <w:color w:val="auto"/>
          <w:sz w:val="24"/>
          <w:szCs w:val="24"/>
          <w:highlight w:val="none"/>
        </w:rPr>
        <w:t>表</w:t>
      </w:r>
      <w:r>
        <w:rPr>
          <w:rFonts w:hint="eastAsia" w:ascii="Times New Roman" w:hAnsi="Times New Roman"/>
          <w:b/>
          <w:bCs/>
          <w:color w:val="auto"/>
          <w:sz w:val="24"/>
          <w:szCs w:val="24"/>
          <w:highlight w:val="none"/>
        </w:rPr>
        <w:t>9</w:t>
      </w:r>
      <w:r>
        <w:rPr>
          <w:rFonts w:ascii="Times New Roman" w:hAnsi="Times New Roman"/>
          <w:b/>
          <w:bCs/>
          <w:color w:val="auto"/>
          <w:sz w:val="24"/>
          <w:szCs w:val="24"/>
          <w:highlight w:val="none"/>
        </w:rPr>
        <w:t>-</w:t>
      </w:r>
      <w:r>
        <w:rPr>
          <w:rFonts w:hint="eastAsia" w:ascii="Times New Roman" w:hAnsi="Times New Roman"/>
          <w:b/>
          <w:bCs/>
          <w:color w:val="auto"/>
          <w:sz w:val="24"/>
          <w:szCs w:val="24"/>
          <w:highlight w:val="none"/>
        </w:rPr>
        <w:t>2</w:t>
      </w:r>
      <w:r>
        <w:rPr>
          <w:rFonts w:ascii="Times New Roman" w:hAnsi="Times New Roman"/>
          <w:b/>
          <w:bCs/>
          <w:color w:val="auto"/>
          <w:sz w:val="24"/>
          <w:szCs w:val="24"/>
          <w:highlight w:val="none"/>
        </w:rPr>
        <w:t>废水监测结果</w:t>
      </w:r>
    </w:p>
    <w:tbl>
      <w:tblPr>
        <w:tblStyle w:val="23"/>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1"/>
        <w:gridCol w:w="1395"/>
        <w:gridCol w:w="959"/>
        <w:gridCol w:w="1079"/>
        <w:gridCol w:w="1037"/>
        <w:gridCol w:w="1110"/>
        <w:gridCol w:w="1410"/>
        <w:gridCol w:w="1455"/>
        <w:gridCol w:w="1245"/>
        <w:gridCol w:w="1350"/>
        <w:gridCol w:w="17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76" w:type="pct"/>
            <w:vMerge w:val="restart"/>
            <w:tcBorders>
              <w:tl2br w:val="nil"/>
              <w:tr2bl w:val="nil"/>
            </w:tcBorders>
            <w:noWrap/>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监测点位</w:t>
            </w:r>
          </w:p>
        </w:tc>
        <w:tc>
          <w:tcPr>
            <w:tcW w:w="831" w:type="pct"/>
            <w:gridSpan w:val="2"/>
            <w:vMerge w:val="restart"/>
            <w:tcBorders>
              <w:tl2br w:val="nil"/>
              <w:tr2bl w:val="nil"/>
            </w:tcBorders>
            <w:noWrap/>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监测日期</w:t>
            </w:r>
          </w:p>
        </w:tc>
        <w:tc>
          <w:tcPr>
            <w:tcW w:w="380" w:type="pct"/>
            <w:vMerge w:val="restart"/>
            <w:tcBorders>
              <w:tl2br w:val="nil"/>
              <w:tr2bl w:val="nil"/>
            </w:tcBorders>
            <w:noWrap/>
            <w:vAlign w:val="center"/>
          </w:tcPr>
          <w:p>
            <w:pPr>
              <w:jc w:val="center"/>
              <w:rPr>
                <w:rFonts w:hint="default" w:ascii="Times New Roman" w:hAnsi="Times New Roman" w:cs="Times New Roman"/>
                <w:b/>
                <w:color w:val="auto"/>
                <w:spacing w:val="-2"/>
                <w:sz w:val="21"/>
                <w:szCs w:val="21"/>
                <w:highlight w:val="none"/>
              </w:rPr>
            </w:pPr>
            <w:r>
              <w:rPr>
                <w:rFonts w:hint="default" w:ascii="Times New Roman" w:hAnsi="Times New Roman" w:cs="Times New Roman"/>
                <w:b/>
                <w:color w:val="auto"/>
                <w:spacing w:val="-2"/>
                <w:sz w:val="21"/>
                <w:szCs w:val="21"/>
                <w:highlight w:val="none"/>
              </w:rPr>
              <w:t>样品性状</w:t>
            </w:r>
          </w:p>
        </w:tc>
        <w:tc>
          <w:tcPr>
            <w:tcW w:w="3311" w:type="pct"/>
            <w:gridSpan w:val="7"/>
            <w:tcBorders>
              <w:tl2br w:val="nil"/>
              <w:tr2bl w:val="nil"/>
            </w:tcBorders>
            <w:noWrap/>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监测结果mg/L（pH值无量纲</w:t>
            </w:r>
            <w:r>
              <w:rPr>
                <w:rFonts w:hint="default" w:ascii="Times New Roman" w:hAnsi="Times New Roman" w:cs="Times New Roman"/>
                <w:b/>
                <w:bCs/>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76" w:type="pct"/>
            <w:vMerge w:val="continue"/>
            <w:tcBorders>
              <w:tl2br w:val="nil"/>
              <w:tr2bl w:val="nil"/>
            </w:tcBorders>
            <w:noWrap/>
            <w:vAlign w:val="center"/>
          </w:tcPr>
          <w:p>
            <w:pPr>
              <w:jc w:val="center"/>
              <w:rPr>
                <w:rFonts w:hint="default" w:ascii="Times New Roman" w:hAnsi="Times New Roman" w:cs="Times New Roman"/>
                <w:b/>
                <w:color w:val="auto"/>
                <w:sz w:val="21"/>
                <w:szCs w:val="21"/>
                <w:highlight w:val="none"/>
              </w:rPr>
            </w:pPr>
          </w:p>
        </w:tc>
        <w:tc>
          <w:tcPr>
            <w:tcW w:w="831" w:type="pct"/>
            <w:gridSpan w:val="2"/>
            <w:vMerge w:val="continue"/>
            <w:tcBorders>
              <w:tl2br w:val="nil"/>
              <w:tr2bl w:val="nil"/>
            </w:tcBorders>
            <w:noWrap/>
            <w:vAlign w:val="center"/>
          </w:tcPr>
          <w:p>
            <w:pPr>
              <w:jc w:val="center"/>
              <w:rPr>
                <w:rFonts w:hint="default" w:ascii="Times New Roman" w:hAnsi="Times New Roman" w:cs="Times New Roman"/>
                <w:b/>
                <w:color w:val="auto"/>
                <w:sz w:val="21"/>
                <w:szCs w:val="21"/>
                <w:highlight w:val="none"/>
              </w:rPr>
            </w:pPr>
          </w:p>
        </w:tc>
        <w:tc>
          <w:tcPr>
            <w:tcW w:w="380" w:type="pct"/>
            <w:vMerge w:val="continue"/>
            <w:tcBorders>
              <w:tl2br w:val="nil"/>
              <w:tr2bl w:val="nil"/>
            </w:tcBorders>
            <w:noWrap/>
            <w:vAlign w:val="center"/>
          </w:tcPr>
          <w:p>
            <w:pPr>
              <w:jc w:val="center"/>
              <w:rPr>
                <w:rFonts w:hint="default" w:ascii="Times New Roman" w:hAnsi="Times New Roman" w:cs="Times New Roman"/>
                <w:b/>
                <w:color w:val="auto"/>
                <w:sz w:val="21"/>
                <w:szCs w:val="21"/>
                <w:highlight w:val="none"/>
              </w:rPr>
            </w:pPr>
          </w:p>
        </w:tc>
        <w:tc>
          <w:tcPr>
            <w:tcW w:w="366" w:type="pct"/>
            <w:tcBorders>
              <w:tl2br w:val="nil"/>
              <w:tr2bl w:val="nil"/>
            </w:tcBorders>
            <w:noWrap/>
            <w:vAlign w:val="center"/>
          </w:tcPr>
          <w:p>
            <w:pPr>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b/>
                <w:bCs/>
                <w:color w:val="auto"/>
                <w:sz w:val="21"/>
                <w:szCs w:val="21"/>
                <w:highlight w:val="none"/>
              </w:rPr>
              <w:t>pH值</w:t>
            </w:r>
          </w:p>
        </w:tc>
        <w:tc>
          <w:tcPr>
            <w:tcW w:w="391" w:type="pct"/>
            <w:tcBorders>
              <w:tl2br w:val="nil"/>
              <w:tr2bl w:val="nil"/>
            </w:tcBorders>
            <w:noWrap/>
            <w:vAlign w:val="center"/>
          </w:tcPr>
          <w:p>
            <w:pPr>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b/>
                <w:bCs/>
                <w:color w:val="auto"/>
                <w:sz w:val="21"/>
                <w:szCs w:val="21"/>
                <w:highlight w:val="none"/>
              </w:rPr>
              <w:t>悬浮物</w:t>
            </w:r>
          </w:p>
        </w:tc>
        <w:tc>
          <w:tcPr>
            <w:tcW w:w="497" w:type="pct"/>
            <w:tcBorders>
              <w:tl2br w:val="nil"/>
              <w:tr2bl w:val="nil"/>
            </w:tcBorders>
            <w:noWrap/>
            <w:vAlign w:val="center"/>
          </w:tcPr>
          <w:p>
            <w:pPr>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b/>
                <w:bCs/>
                <w:color w:val="auto"/>
                <w:sz w:val="21"/>
                <w:szCs w:val="21"/>
                <w:highlight w:val="none"/>
              </w:rPr>
              <w:t>化学需氧量</w:t>
            </w:r>
          </w:p>
        </w:tc>
        <w:tc>
          <w:tcPr>
            <w:tcW w:w="513" w:type="pct"/>
            <w:tcBorders>
              <w:tl2br w:val="nil"/>
              <w:tr2bl w:val="nil"/>
            </w:tcBorders>
            <w:noWrap/>
            <w:vAlign w:val="center"/>
          </w:tcPr>
          <w:p>
            <w:pPr>
              <w:ind w:left="2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氨氮</w:t>
            </w:r>
          </w:p>
          <w:p>
            <w:pPr>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b/>
                <w:color w:val="auto"/>
                <w:sz w:val="21"/>
                <w:szCs w:val="21"/>
                <w:highlight w:val="none"/>
              </w:rPr>
              <w:t>（以N计）</w:t>
            </w:r>
          </w:p>
        </w:tc>
        <w:tc>
          <w:tcPr>
            <w:tcW w:w="439" w:type="pct"/>
            <w:tcBorders>
              <w:tl2br w:val="nil"/>
              <w:tr2bl w:val="nil"/>
            </w:tcBorders>
            <w:noWrap/>
            <w:vAlign w:val="center"/>
          </w:tcPr>
          <w:p>
            <w:pPr>
              <w:widowControl/>
              <w:jc w:val="center"/>
              <w:rPr>
                <w:rFonts w:hint="default" w:ascii="Times New Roman" w:hAnsi="Times New Roman" w:cs="Times New Roman" w:eastAsiaTheme="minorEastAsia"/>
                <w:b/>
                <w:color w:val="auto"/>
                <w:kern w:val="2"/>
                <w:sz w:val="21"/>
                <w:szCs w:val="21"/>
                <w:highlight w:val="none"/>
                <w:lang w:val="en-US" w:eastAsia="zh-CN" w:bidi="ar-SA"/>
              </w:rPr>
            </w:pPr>
            <w:r>
              <w:rPr>
                <w:rFonts w:hint="default" w:ascii="Times New Roman" w:hAnsi="Times New Roman" w:cs="Times New Roman"/>
                <w:b/>
                <w:color w:val="auto"/>
                <w:kern w:val="0"/>
                <w:sz w:val="21"/>
                <w:szCs w:val="21"/>
                <w:highlight w:val="none"/>
              </w:rPr>
              <w:t>总磷</w:t>
            </w:r>
          </w:p>
        </w:tc>
        <w:tc>
          <w:tcPr>
            <w:tcW w:w="476" w:type="pct"/>
            <w:tcBorders>
              <w:tl2br w:val="nil"/>
              <w:tr2bl w:val="nil"/>
            </w:tcBorders>
            <w:noWrap/>
            <w:vAlign w:val="center"/>
          </w:tcPr>
          <w:p>
            <w:pPr>
              <w:ind w:left="20" w:leftChars="0"/>
              <w:jc w:val="center"/>
              <w:rPr>
                <w:rFonts w:hint="default" w:ascii="Times New Roman" w:hAnsi="Times New Roman" w:cs="Times New Roman" w:eastAsiaTheme="minorEastAsia"/>
                <w:b/>
                <w:color w:val="auto"/>
                <w:kern w:val="2"/>
                <w:sz w:val="21"/>
                <w:szCs w:val="21"/>
                <w:highlight w:val="none"/>
                <w:lang w:val="en-US" w:eastAsia="zh-CN" w:bidi="ar-SA"/>
              </w:rPr>
            </w:pPr>
            <w:r>
              <w:rPr>
                <w:rFonts w:hint="default" w:ascii="Times New Roman" w:hAnsi="Times New Roman" w:cs="Times New Roman"/>
                <w:b/>
                <w:color w:val="auto"/>
                <w:kern w:val="0"/>
                <w:sz w:val="21"/>
                <w:szCs w:val="21"/>
                <w:highlight w:val="none"/>
              </w:rPr>
              <w:t>动植物油类</w:t>
            </w:r>
          </w:p>
        </w:tc>
        <w:tc>
          <w:tcPr>
            <w:tcW w:w="625" w:type="pct"/>
            <w:tcBorders>
              <w:tl2br w:val="nil"/>
              <w:tr2bl w:val="nil"/>
            </w:tcBorders>
            <w:noWrap/>
            <w:vAlign w:val="center"/>
          </w:tcPr>
          <w:p>
            <w:pPr>
              <w:ind w:left="20" w:leftChars="0"/>
              <w:jc w:val="center"/>
              <w:rPr>
                <w:rFonts w:hint="default" w:ascii="Times New Roman" w:hAnsi="Times New Roman" w:cs="Times New Roman" w:eastAsiaTheme="minorEastAsia"/>
                <w:b/>
                <w:color w:val="auto"/>
                <w:kern w:val="2"/>
                <w:sz w:val="21"/>
                <w:szCs w:val="21"/>
                <w:highlight w:val="none"/>
                <w:lang w:val="en-US" w:eastAsia="zh-CN" w:bidi="ar-SA"/>
              </w:rPr>
            </w:pPr>
            <w:r>
              <w:rPr>
                <w:rFonts w:hint="default" w:ascii="Times New Roman" w:hAnsi="Times New Roman" w:cs="Times New Roman"/>
                <w:b/>
                <w:color w:val="auto"/>
                <w:kern w:val="0"/>
                <w:sz w:val="21"/>
                <w:szCs w:val="21"/>
                <w:highlight w:val="none"/>
              </w:rPr>
              <w:t>五日生化需氧量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476" w:type="pct"/>
            <w:vMerge w:val="restart"/>
            <w:tcBorders>
              <w:tl2br w:val="nil"/>
              <w:tr2bl w:val="nil"/>
            </w:tcBorders>
            <w:noWrap/>
            <w:vAlign w:val="center"/>
          </w:tcPr>
          <w:p>
            <w:pPr>
              <w:spacing w:line="252" w:lineRule="exact"/>
              <w:ind w:left="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★3#厂区总排口</w:t>
            </w:r>
          </w:p>
        </w:tc>
        <w:tc>
          <w:tcPr>
            <w:tcW w:w="492" w:type="pct"/>
            <w:vMerge w:val="restart"/>
            <w:tcBorders>
              <w:tl2br w:val="nil"/>
              <w:tr2bl w:val="nil"/>
            </w:tcBorders>
            <w:noWrap/>
            <w:vAlign w:val="center"/>
          </w:tcPr>
          <w:p>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2022-01-11</w:t>
            </w:r>
          </w:p>
        </w:tc>
        <w:tc>
          <w:tcPr>
            <w:tcW w:w="338" w:type="pct"/>
            <w:tcBorders>
              <w:tl2br w:val="nil"/>
              <w:tr2bl w:val="nil"/>
            </w:tcBorders>
            <w:noWrap/>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08:28</w:t>
            </w:r>
          </w:p>
        </w:tc>
        <w:tc>
          <w:tcPr>
            <w:tcW w:w="380"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浅黄澄清</w:t>
            </w:r>
          </w:p>
        </w:tc>
        <w:tc>
          <w:tcPr>
            <w:tcW w:w="36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7.8</w:t>
            </w:r>
          </w:p>
        </w:tc>
        <w:tc>
          <w:tcPr>
            <w:tcW w:w="391"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6</w:t>
            </w:r>
          </w:p>
        </w:tc>
        <w:tc>
          <w:tcPr>
            <w:tcW w:w="497"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11</w:t>
            </w:r>
          </w:p>
        </w:tc>
        <w:tc>
          <w:tcPr>
            <w:tcW w:w="513"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0.564</w:t>
            </w:r>
          </w:p>
        </w:tc>
        <w:tc>
          <w:tcPr>
            <w:tcW w:w="439"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0.03</w:t>
            </w:r>
          </w:p>
        </w:tc>
        <w:tc>
          <w:tcPr>
            <w:tcW w:w="47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0.50</w:t>
            </w:r>
          </w:p>
        </w:tc>
        <w:tc>
          <w:tcPr>
            <w:tcW w:w="625"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6"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492"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338" w:type="pct"/>
            <w:tcBorders>
              <w:tl2br w:val="nil"/>
              <w:tr2bl w:val="nil"/>
            </w:tcBorders>
            <w:noWrap/>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09:17</w:t>
            </w:r>
          </w:p>
        </w:tc>
        <w:tc>
          <w:tcPr>
            <w:tcW w:w="380"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浅黄澄清</w:t>
            </w:r>
          </w:p>
        </w:tc>
        <w:tc>
          <w:tcPr>
            <w:tcW w:w="36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7.9</w:t>
            </w:r>
          </w:p>
        </w:tc>
        <w:tc>
          <w:tcPr>
            <w:tcW w:w="391"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7</w:t>
            </w:r>
          </w:p>
        </w:tc>
        <w:tc>
          <w:tcPr>
            <w:tcW w:w="497"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11</w:t>
            </w:r>
          </w:p>
        </w:tc>
        <w:tc>
          <w:tcPr>
            <w:tcW w:w="513"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0.487</w:t>
            </w:r>
          </w:p>
        </w:tc>
        <w:tc>
          <w:tcPr>
            <w:tcW w:w="439"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0.03</w:t>
            </w:r>
          </w:p>
        </w:tc>
        <w:tc>
          <w:tcPr>
            <w:tcW w:w="47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0.45</w:t>
            </w:r>
          </w:p>
        </w:tc>
        <w:tc>
          <w:tcPr>
            <w:tcW w:w="625"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6"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492"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338" w:type="pct"/>
            <w:tcBorders>
              <w:tl2br w:val="nil"/>
              <w:tr2bl w:val="nil"/>
            </w:tcBorders>
            <w:noWrap/>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10:16</w:t>
            </w:r>
          </w:p>
        </w:tc>
        <w:tc>
          <w:tcPr>
            <w:tcW w:w="380"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浅黄澄清</w:t>
            </w:r>
          </w:p>
        </w:tc>
        <w:tc>
          <w:tcPr>
            <w:tcW w:w="36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7.8</w:t>
            </w:r>
          </w:p>
        </w:tc>
        <w:tc>
          <w:tcPr>
            <w:tcW w:w="391"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6</w:t>
            </w:r>
          </w:p>
        </w:tc>
        <w:tc>
          <w:tcPr>
            <w:tcW w:w="497"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10</w:t>
            </w:r>
          </w:p>
        </w:tc>
        <w:tc>
          <w:tcPr>
            <w:tcW w:w="513"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0.579</w:t>
            </w:r>
          </w:p>
        </w:tc>
        <w:tc>
          <w:tcPr>
            <w:tcW w:w="439"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0.04</w:t>
            </w:r>
          </w:p>
        </w:tc>
        <w:tc>
          <w:tcPr>
            <w:tcW w:w="47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0.46</w:t>
            </w:r>
          </w:p>
        </w:tc>
        <w:tc>
          <w:tcPr>
            <w:tcW w:w="625"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6"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492"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719" w:type="pct"/>
            <w:gridSpan w:val="2"/>
            <w:tcBorders>
              <w:tl2br w:val="nil"/>
              <w:tr2bl w:val="nil"/>
            </w:tcBorders>
            <w:noWrap/>
            <w:vAlign w:val="center"/>
          </w:tcPr>
          <w:p>
            <w:pPr>
              <w:spacing w:line="252" w:lineRule="exact"/>
              <w:ind w:left="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日均值（范围）</w:t>
            </w:r>
          </w:p>
        </w:tc>
        <w:tc>
          <w:tcPr>
            <w:tcW w:w="366"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7.8-7.9</w:t>
            </w:r>
          </w:p>
        </w:tc>
        <w:tc>
          <w:tcPr>
            <w:tcW w:w="391"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c>
          <w:tcPr>
            <w:tcW w:w="497"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w:t>
            </w:r>
          </w:p>
        </w:tc>
        <w:tc>
          <w:tcPr>
            <w:tcW w:w="513"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Cs w:val="21"/>
                <w:highlight w:val="none"/>
              </w:rPr>
              <w:t>0.543</w:t>
            </w:r>
          </w:p>
        </w:tc>
        <w:tc>
          <w:tcPr>
            <w:tcW w:w="439"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0.03</w:t>
            </w:r>
          </w:p>
        </w:tc>
        <w:tc>
          <w:tcPr>
            <w:tcW w:w="476"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Cs w:val="21"/>
                <w:highlight w:val="none"/>
              </w:rPr>
              <w:fldChar w:fldCharType="begin"/>
            </w:r>
            <w:r>
              <w:rPr>
                <w:rFonts w:hint="default" w:ascii="Times New Roman" w:hAnsi="Times New Roman" w:cs="Times New Roman"/>
                <w:color w:val="auto"/>
                <w:szCs w:val="21"/>
                <w:highlight w:val="none"/>
              </w:rPr>
              <w:instrText xml:space="preserve"> = average(J3:J5) \* MERGEFORMAT </w:instrText>
            </w:r>
            <w:r>
              <w:rPr>
                <w:rFonts w:hint="default" w:ascii="Times New Roman" w:hAnsi="Times New Roman" w:cs="Times New Roman"/>
                <w:color w:val="auto"/>
                <w:szCs w:val="21"/>
                <w:highlight w:val="none"/>
              </w:rPr>
              <w:fldChar w:fldCharType="separate"/>
            </w:r>
            <w:r>
              <w:rPr>
                <w:rFonts w:hint="default" w:ascii="Times New Roman" w:hAnsi="Times New Roman" w:cs="Times New Roman"/>
                <w:color w:val="auto"/>
                <w:szCs w:val="21"/>
                <w:highlight w:val="none"/>
              </w:rPr>
              <w:t>0.47</w:t>
            </w:r>
            <w:r>
              <w:rPr>
                <w:rFonts w:hint="default" w:ascii="Times New Roman" w:hAnsi="Times New Roman" w:cs="Times New Roman"/>
                <w:color w:val="auto"/>
                <w:szCs w:val="21"/>
                <w:highlight w:val="none"/>
              </w:rPr>
              <w:fldChar w:fldCharType="end"/>
            </w:r>
          </w:p>
        </w:tc>
        <w:tc>
          <w:tcPr>
            <w:tcW w:w="625"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rPr>
              <w:t>1.74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6"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492" w:type="pct"/>
            <w:vMerge w:val="restart"/>
            <w:tcBorders>
              <w:tl2br w:val="nil"/>
              <w:tr2bl w:val="nil"/>
            </w:tcBorders>
            <w:noWrap/>
            <w:vAlign w:val="center"/>
          </w:tcPr>
          <w:p>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2022-01-12</w:t>
            </w:r>
          </w:p>
        </w:tc>
        <w:tc>
          <w:tcPr>
            <w:tcW w:w="338" w:type="pct"/>
            <w:tcBorders>
              <w:tl2br w:val="nil"/>
              <w:tr2bl w:val="nil"/>
            </w:tcBorders>
            <w:noWrap/>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08:43</w:t>
            </w:r>
          </w:p>
        </w:tc>
        <w:tc>
          <w:tcPr>
            <w:tcW w:w="380"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浅黄澄清</w:t>
            </w:r>
          </w:p>
        </w:tc>
        <w:tc>
          <w:tcPr>
            <w:tcW w:w="36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7.9</w:t>
            </w:r>
          </w:p>
        </w:tc>
        <w:tc>
          <w:tcPr>
            <w:tcW w:w="391"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6</w:t>
            </w:r>
          </w:p>
        </w:tc>
        <w:tc>
          <w:tcPr>
            <w:tcW w:w="497"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11</w:t>
            </w:r>
          </w:p>
        </w:tc>
        <w:tc>
          <w:tcPr>
            <w:tcW w:w="513"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0.590</w:t>
            </w:r>
          </w:p>
        </w:tc>
        <w:tc>
          <w:tcPr>
            <w:tcW w:w="439"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0.04</w:t>
            </w:r>
          </w:p>
        </w:tc>
        <w:tc>
          <w:tcPr>
            <w:tcW w:w="47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0.47</w:t>
            </w:r>
          </w:p>
        </w:tc>
        <w:tc>
          <w:tcPr>
            <w:tcW w:w="625"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6"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492"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338" w:type="pct"/>
            <w:tcBorders>
              <w:tl2br w:val="nil"/>
              <w:tr2bl w:val="nil"/>
            </w:tcBorders>
            <w:noWrap/>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10:00</w:t>
            </w:r>
          </w:p>
        </w:tc>
        <w:tc>
          <w:tcPr>
            <w:tcW w:w="380"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浅黄澄清</w:t>
            </w:r>
          </w:p>
        </w:tc>
        <w:tc>
          <w:tcPr>
            <w:tcW w:w="36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7.9</w:t>
            </w:r>
          </w:p>
        </w:tc>
        <w:tc>
          <w:tcPr>
            <w:tcW w:w="391"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7</w:t>
            </w:r>
          </w:p>
        </w:tc>
        <w:tc>
          <w:tcPr>
            <w:tcW w:w="497"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14</w:t>
            </w:r>
          </w:p>
        </w:tc>
        <w:tc>
          <w:tcPr>
            <w:tcW w:w="513"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0.687</w:t>
            </w:r>
          </w:p>
        </w:tc>
        <w:tc>
          <w:tcPr>
            <w:tcW w:w="439"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0.05</w:t>
            </w:r>
          </w:p>
        </w:tc>
        <w:tc>
          <w:tcPr>
            <w:tcW w:w="47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0.50</w:t>
            </w:r>
          </w:p>
        </w:tc>
        <w:tc>
          <w:tcPr>
            <w:tcW w:w="625"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6"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492"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338" w:type="pct"/>
            <w:tcBorders>
              <w:tl2br w:val="nil"/>
              <w:tr2bl w:val="nil"/>
            </w:tcBorders>
            <w:noWrap/>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10:44</w:t>
            </w:r>
          </w:p>
        </w:tc>
        <w:tc>
          <w:tcPr>
            <w:tcW w:w="380"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浅黄澄清</w:t>
            </w:r>
          </w:p>
        </w:tc>
        <w:tc>
          <w:tcPr>
            <w:tcW w:w="36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7.8</w:t>
            </w:r>
          </w:p>
        </w:tc>
        <w:tc>
          <w:tcPr>
            <w:tcW w:w="391"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7</w:t>
            </w:r>
          </w:p>
        </w:tc>
        <w:tc>
          <w:tcPr>
            <w:tcW w:w="497"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12</w:t>
            </w:r>
          </w:p>
        </w:tc>
        <w:tc>
          <w:tcPr>
            <w:tcW w:w="513"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0.553</w:t>
            </w:r>
          </w:p>
        </w:tc>
        <w:tc>
          <w:tcPr>
            <w:tcW w:w="439"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0.03</w:t>
            </w:r>
          </w:p>
        </w:tc>
        <w:tc>
          <w:tcPr>
            <w:tcW w:w="47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0.51</w:t>
            </w:r>
          </w:p>
        </w:tc>
        <w:tc>
          <w:tcPr>
            <w:tcW w:w="625"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6"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492" w:type="pct"/>
            <w:vMerge w:val="continue"/>
            <w:tcBorders>
              <w:tl2br w:val="nil"/>
              <w:tr2bl w:val="nil"/>
            </w:tcBorders>
            <w:noWrap/>
            <w:vAlign w:val="center"/>
          </w:tcPr>
          <w:p>
            <w:pPr>
              <w:jc w:val="center"/>
              <w:rPr>
                <w:rFonts w:hint="default" w:ascii="Times New Roman" w:hAnsi="Times New Roman" w:cs="Times New Roman"/>
                <w:color w:val="auto"/>
                <w:sz w:val="21"/>
                <w:szCs w:val="21"/>
                <w:highlight w:val="none"/>
              </w:rPr>
            </w:pPr>
          </w:p>
        </w:tc>
        <w:tc>
          <w:tcPr>
            <w:tcW w:w="719" w:type="pct"/>
            <w:gridSpan w:val="2"/>
            <w:tcBorders>
              <w:tl2br w:val="nil"/>
              <w:tr2bl w:val="nil"/>
            </w:tcBorders>
            <w:noWrap/>
            <w:vAlign w:val="center"/>
          </w:tcPr>
          <w:p>
            <w:pPr>
              <w:spacing w:line="252" w:lineRule="exact"/>
              <w:ind w:left="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日均值（范围）</w:t>
            </w:r>
          </w:p>
        </w:tc>
        <w:tc>
          <w:tcPr>
            <w:tcW w:w="366"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7.8-7.9</w:t>
            </w:r>
          </w:p>
        </w:tc>
        <w:tc>
          <w:tcPr>
            <w:tcW w:w="391"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w:t>
            </w:r>
          </w:p>
        </w:tc>
        <w:tc>
          <w:tcPr>
            <w:tcW w:w="497"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w:t>
            </w:r>
          </w:p>
        </w:tc>
        <w:tc>
          <w:tcPr>
            <w:tcW w:w="513" w:type="pct"/>
            <w:tcBorders>
              <w:tl2br w:val="nil"/>
              <w:tr2bl w:val="nil"/>
            </w:tcBorders>
            <w:noWrap/>
            <w:vAlign w:val="center"/>
          </w:tcPr>
          <w:p>
            <w:pPr>
              <w:spacing w:line="252" w:lineRule="exact"/>
              <w:ind w:left="2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color w:val="auto"/>
                <w:szCs w:val="21"/>
                <w:highlight w:val="none"/>
              </w:rPr>
              <w:fldChar w:fldCharType="begin"/>
            </w:r>
            <w:r>
              <w:rPr>
                <w:rFonts w:hint="default" w:ascii="Times New Roman" w:hAnsi="Times New Roman" w:cs="Times New Roman"/>
                <w:color w:val="auto"/>
                <w:szCs w:val="21"/>
                <w:highlight w:val="none"/>
              </w:rPr>
              <w:instrText xml:space="preserve"> = average(H7:H9) \* MERGEFORMAT </w:instrText>
            </w:r>
            <w:r>
              <w:rPr>
                <w:rFonts w:hint="default" w:ascii="Times New Roman" w:hAnsi="Times New Roman" w:cs="Times New Roman"/>
                <w:color w:val="auto"/>
                <w:szCs w:val="21"/>
                <w:highlight w:val="none"/>
              </w:rPr>
              <w:fldChar w:fldCharType="separate"/>
            </w:r>
            <w:r>
              <w:rPr>
                <w:rFonts w:hint="default" w:ascii="Times New Roman" w:hAnsi="Times New Roman" w:cs="Times New Roman"/>
                <w:color w:val="auto"/>
                <w:szCs w:val="21"/>
                <w:highlight w:val="none"/>
              </w:rPr>
              <w:t>0.61</w:t>
            </w:r>
            <w:r>
              <w:rPr>
                <w:rFonts w:hint="default" w:ascii="Times New Roman" w:hAnsi="Times New Roman" w:cs="Times New Roman"/>
                <w:color w:val="auto"/>
                <w:szCs w:val="21"/>
                <w:highlight w:val="none"/>
              </w:rPr>
              <w:fldChar w:fldCharType="end"/>
            </w:r>
            <w:r>
              <w:rPr>
                <w:rFonts w:hint="default" w:ascii="Times New Roman" w:hAnsi="Times New Roman" w:cs="Times New Roman"/>
                <w:color w:val="auto"/>
                <w:szCs w:val="21"/>
                <w:highlight w:val="none"/>
                <w:lang w:val="en-US" w:eastAsia="zh-CN"/>
              </w:rPr>
              <w:t>0</w:t>
            </w:r>
          </w:p>
        </w:tc>
        <w:tc>
          <w:tcPr>
            <w:tcW w:w="439"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0.04</w:t>
            </w:r>
          </w:p>
        </w:tc>
        <w:tc>
          <w:tcPr>
            <w:tcW w:w="476"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Cs w:val="21"/>
                <w:highlight w:val="none"/>
              </w:rPr>
              <w:t>0.49</w:t>
            </w:r>
          </w:p>
        </w:tc>
        <w:tc>
          <w:tcPr>
            <w:tcW w:w="625"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Cs w:val="21"/>
                <w:highlight w:val="none"/>
              </w:rPr>
              <w:t>1.61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88" w:type="pct"/>
            <w:gridSpan w:val="4"/>
            <w:tcBorders>
              <w:tl2br w:val="nil"/>
              <w:tr2bl w:val="nil"/>
            </w:tcBorders>
            <w:noWrap/>
            <w:vAlign w:val="center"/>
          </w:tcPr>
          <w:p>
            <w:pPr>
              <w:spacing w:line="252" w:lineRule="exact"/>
              <w:ind w:left="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监测期间最大日均值</w:t>
            </w:r>
          </w:p>
        </w:tc>
        <w:tc>
          <w:tcPr>
            <w:tcW w:w="366"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7.8-7.9</w:t>
            </w:r>
          </w:p>
        </w:tc>
        <w:tc>
          <w:tcPr>
            <w:tcW w:w="391" w:type="pct"/>
            <w:tcBorders>
              <w:tl2br w:val="nil"/>
              <w:tr2bl w:val="nil"/>
            </w:tcBorders>
            <w:noWrap/>
            <w:vAlign w:val="center"/>
          </w:tcPr>
          <w:p>
            <w:pPr>
              <w:spacing w:line="252" w:lineRule="exact"/>
              <w:ind w:left="2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7</w:t>
            </w:r>
          </w:p>
        </w:tc>
        <w:tc>
          <w:tcPr>
            <w:tcW w:w="497" w:type="pct"/>
            <w:tcBorders>
              <w:tl2br w:val="nil"/>
              <w:tr2bl w:val="nil"/>
            </w:tcBorders>
            <w:noWrap/>
            <w:vAlign w:val="center"/>
          </w:tcPr>
          <w:p>
            <w:pPr>
              <w:spacing w:line="252" w:lineRule="exact"/>
              <w:ind w:left="2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w:t>
            </w:r>
          </w:p>
        </w:tc>
        <w:tc>
          <w:tcPr>
            <w:tcW w:w="513"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fldChar w:fldCharType="begin"/>
            </w:r>
            <w:r>
              <w:rPr>
                <w:rFonts w:hint="default" w:ascii="Times New Roman" w:hAnsi="Times New Roman" w:cs="Times New Roman"/>
                <w:color w:val="auto"/>
                <w:szCs w:val="21"/>
                <w:highlight w:val="none"/>
              </w:rPr>
              <w:instrText xml:space="preserve"> = average(H7:H9) \* MERGEFORMAT </w:instrText>
            </w:r>
            <w:r>
              <w:rPr>
                <w:rFonts w:hint="default" w:ascii="Times New Roman" w:hAnsi="Times New Roman" w:cs="Times New Roman"/>
                <w:color w:val="auto"/>
                <w:szCs w:val="21"/>
                <w:highlight w:val="none"/>
              </w:rPr>
              <w:fldChar w:fldCharType="separate"/>
            </w:r>
            <w:r>
              <w:rPr>
                <w:rFonts w:hint="default" w:ascii="Times New Roman" w:hAnsi="Times New Roman" w:cs="Times New Roman"/>
                <w:color w:val="auto"/>
                <w:szCs w:val="21"/>
                <w:highlight w:val="none"/>
              </w:rPr>
              <w:t>0.61</w:t>
            </w:r>
            <w:r>
              <w:rPr>
                <w:rFonts w:hint="default" w:ascii="Times New Roman" w:hAnsi="Times New Roman" w:cs="Times New Roman"/>
                <w:color w:val="auto"/>
                <w:szCs w:val="21"/>
                <w:highlight w:val="none"/>
              </w:rPr>
              <w:fldChar w:fldCharType="end"/>
            </w:r>
            <w:r>
              <w:rPr>
                <w:rFonts w:hint="default" w:ascii="Times New Roman" w:hAnsi="Times New Roman" w:cs="Times New Roman"/>
                <w:color w:val="auto"/>
                <w:szCs w:val="21"/>
                <w:highlight w:val="none"/>
                <w:lang w:val="en-US" w:eastAsia="zh-CN"/>
              </w:rPr>
              <w:t>0</w:t>
            </w:r>
          </w:p>
        </w:tc>
        <w:tc>
          <w:tcPr>
            <w:tcW w:w="439" w:type="pct"/>
            <w:tcBorders>
              <w:tl2br w:val="nil"/>
              <w:tr2bl w:val="nil"/>
            </w:tcBorders>
            <w:noWrap/>
            <w:vAlign w:val="center"/>
          </w:tcPr>
          <w:p>
            <w:pPr>
              <w:spacing w:line="252" w:lineRule="exact"/>
              <w:ind w:left="2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0.04</w:t>
            </w:r>
          </w:p>
        </w:tc>
        <w:tc>
          <w:tcPr>
            <w:tcW w:w="476"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rPr>
              <w:t>0.49</w:t>
            </w:r>
          </w:p>
        </w:tc>
        <w:tc>
          <w:tcPr>
            <w:tcW w:w="625" w:type="pct"/>
            <w:tcBorders>
              <w:tl2br w:val="nil"/>
              <w:tr2bl w:val="nil"/>
            </w:tcBorders>
            <w:noWrap/>
            <w:vAlign w:val="center"/>
          </w:tcPr>
          <w:p>
            <w:pPr>
              <w:spacing w:line="252" w:lineRule="exact"/>
              <w:ind w:left="2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rPr>
              <w:t>1.74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88" w:type="pct"/>
            <w:gridSpan w:val="4"/>
            <w:tcBorders>
              <w:tl2br w:val="nil"/>
              <w:tr2bl w:val="nil"/>
            </w:tcBorders>
            <w:noWrap/>
            <w:vAlign w:val="center"/>
          </w:tcPr>
          <w:p>
            <w:pPr>
              <w:spacing w:line="252" w:lineRule="exact"/>
              <w:ind w:left="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标准限值</w:t>
            </w:r>
          </w:p>
        </w:tc>
        <w:tc>
          <w:tcPr>
            <w:tcW w:w="36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6～9</w:t>
            </w:r>
          </w:p>
        </w:tc>
        <w:tc>
          <w:tcPr>
            <w:tcW w:w="391"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≤400</w:t>
            </w:r>
          </w:p>
        </w:tc>
        <w:tc>
          <w:tcPr>
            <w:tcW w:w="497"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≤500</w:t>
            </w:r>
          </w:p>
        </w:tc>
        <w:tc>
          <w:tcPr>
            <w:tcW w:w="513"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≤35</w:t>
            </w:r>
          </w:p>
        </w:tc>
        <w:tc>
          <w:tcPr>
            <w:tcW w:w="439"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≤8</w:t>
            </w:r>
          </w:p>
        </w:tc>
        <w:tc>
          <w:tcPr>
            <w:tcW w:w="476"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≤100</w:t>
            </w:r>
          </w:p>
        </w:tc>
        <w:tc>
          <w:tcPr>
            <w:tcW w:w="625"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11"/>
            <w:tcBorders>
              <w:tl2br w:val="nil"/>
              <w:tr2bl w:val="nil"/>
            </w:tcBorders>
            <w:noWrap/>
            <w:vAlign w:val="center"/>
          </w:tcPr>
          <w:p>
            <w:pPr>
              <w:spacing w:line="252" w:lineRule="exact"/>
              <w:ind w:left="2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zh-CN"/>
              </w:rPr>
              <w:t>注：数据引用浙江中一检测研究院股份有限公司检测报告</w:t>
            </w:r>
            <w:r>
              <w:rPr>
                <w:rFonts w:hint="eastAsia" w:ascii="Times New Roman" w:hAnsi="Times New Roman" w:cs="Times New Roman"/>
                <w:color w:val="auto"/>
                <w:kern w:val="0"/>
                <w:sz w:val="21"/>
                <w:szCs w:val="21"/>
                <w:highlight w:val="none"/>
                <w:lang w:bidi="zh-CN"/>
              </w:rPr>
              <w:t>HJ220125</w:t>
            </w:r>
            <w:r>
              <w:rPr>
                <w:rFonts w:hint="default" w:ascii="Times New Roman" w:hAnsi="Times New Roman" w:cs="Times New Roman"/>
                <w:color w:val="auto"/>
                <w:kern w:val="0"/>
                <w:sz w:val="21"/>
                <w:szCs w:val="21"/>
                <w:highlight w:val="none"/>
                <w:lang w:bidi="zh-CN"/>
              </w:rPr>
              <w:t>。</w:t>
            </w:r>
          </w:p>
        </w:tc>
      </w:tr>
    </w:tbl>
    <w:p>
      <w:pPr>
        <w:widowControl/>
        <w:jc w:val="center"/>
        <w:rPr>
          <w:rFonts w:ascii="Times New Roman" w:hAnsi="Times New Roman" w:cs="Times New Roman"/>
          <w:b/>
          <w:bCs/>
          <w:color w:val="auto"/>
          <w:sz w:val="24"/>
          <w:szCs w:val="24"/>
          <w:highlight w:val="none"/>
        </w:rPr>
      </w:pPr>
    </w:p>
    <w:p>
      <w:pPr>
        <w:pStyle w:val="29"/>
        <w:rPr>
          <w:rFonts w:ascii="Times New Roman" w:hAnsi="Times New Roman" w:cs="Times New Roman"/>
          <w:b/>
          <w:bCs/>
          <w:color w:val="auto"/>
          <w:sz w:val="24"/>
          <w:szCs w:val="24"/>
          <w:highlight w:val="none"/>
        </w:rPr>
      </w:pPr>
    </w:p>
    <w:p>
      <w:pPr>
        <w:adjustRightInd w:val="0"/>
        <w:snapToGrid w:val="0"/>
        <w:ind w:firstLine="480"/>
        <w:jc w:val="center"/>
        <w:rPr>
          <w:b/>
          <w:bCs/>
          <w:color w:val="auto"/>
          <w:sz w:val="24"/>
          <w:szCs w:val="24"/>
          <w:highlight w:val="none"/>
        </w:rPr>
      </w:pPr>
    </w:p>
    <w:p>
      <w:pPr>
        <w:adjustRightInd w:val="0"/>
        <w:snapToGrid w:val="0"/>
        <w:ind w:firstLine="480"/>
        <w:jc w:val="center"/>
        <w:rPr>
          <w:b/>
          <w:bCs/>
          <w:color w:val="auto"/>
          <w:sz w:val="24"/>
          <w:szCs w:val="24"/>
          <w:highlight w:val="none"/>
        </w:rPr>
      </w:pPr>
    </w:p>
    <w:p>
      <w:pPr>
        <w:adjustRightInd w:val="0"/>
        <w:snapToGrid w:val="0"/>
        <w:ind w:firstLine="480"/>
        <w:jc w:val="center"/>
        <w:rPr>
          <w:b/>
          <w:bCs/>
          <w:color w:val="auto"/>
          <w:sz w:val="24"/>
          <w:szCs w:val="24"/>
          <w:highlight w:val="none"/>
        </w:rPr>
      </w:pPr>
    </w:p>
    <w:p>
      <w:pPr>
        <w:adjustRightInd w:val="0"/>
        <w:snapToGrid w:val="0"/>
        <w:ind w:firstLine="480"/>
        <w:jc w:val="cente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表</w:t>
      </w:r>
      <w:r>
        <w:rPr>
          <w:rFonts w:hint="default" w:ascii="Times New Roman" w:hAnsi="Times New Roman" w:cs="Times New Roman"/>
          <w:b/>
          <w:bCs/>
          <w:color w:val="auto"/>
          <w:sz w:val="24"/>
          <w:szCs w:val="24"/>
          <w:highlight w:val="none"/>
          <w:lang w:val="en-US" w:eastAsia="zh-CN"/>
        </w:rPr>
        <w:t>9</w:t>
      </w:r>
      <w:r>
        <w:rPr>
          <w:rFonts w:hint="default" w:ascii="Times New Roman" w:hAnsi="Times New Roman" w:cs="Times New Roman"/>
          <w:b/>
          <w:bCs/>
          <w:color w:val="auto"/>
          <w:sz w:val="24"/>
          <w:szCs w:val="24"/>
          <w:highlight w:val="none"/>
        </w:rPr>
        <w:t>-</w:t>
      </w:r>
      <w:r>
        <w:rPr>
          <w:rFonts w:hint="default" w:ascii="Times New Roman" w:hAnsi="Times New Roman" w:cs="Times New Roman"/>
          <w:b/>
          <w:bCs/>
          <w:color w:val="auto"/>
          <w:sz w:val="24"/>
          <w:szCs w:val="24"/>
          <w:highlight w:val="none"/>
          <w:lang w:val="en-US" w:eastAsia="zh-CN"/>
        </w:rPr>
        <w:t>3</w:t>
      </w:r>
      <w:r>
        <w:rPr>
          <w:rFonts w:hint="default" w:ascii="Times New Roman" w:hAnsi="Times New Roman" w:cs="Times New Roman"/>
          <w:b/>
          <w:bCs/>
          <w:color w:val="auto"/>
          <w:sz w:val="24"/>
          <w:szCs w:val="24"/>
          <w:highlight w:val="none"/>
        </w:rPr>
        <w:t xml:space="preserve"> 有组织废气监测结果</w:t>
      </w:r>
    </w:p>
    <w:tbl>
      <w:tblPr>
        <w:tblStyle w:val="23"/>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451"/>
        <w:gridCol w:w="1417"/>
        <w:gridCol w:w="1304"/>
        <w:gridCol w:w="1021"/>
        <w:gridCol w:w="1018"/>
        <w:gridCol w:w="1026"/>
        <w:gridCol w:w="1021"/>
        <w:gridCol w:w="1250"/>
        <w:gridCol w:w="1213"/>
        <w:gridCol w:w="1120"/>
        <w:gridCol w:w="1077"/>
        <w:gridCol w:w="124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12" w:type="pct"/>
            <w:vMerge w:val="restart"/>
            <w:tcBorders>
              <w:tl2br w:val="nil"/>
              <w:tr2bl w:val="nil"/>
            </w:tcBorders>
            <w:noWrap w:val="0"/>
            <w:vAlign w:val="center"/>
          </w:tcPr>
          <w:p>
            <w:pPr>
              <w:jc w:val="center"/>
              <w:rPr>
                <w:rFonts w:hint="default" w:ascii="Times New Roman" w:hAnsi="Times New Roman" w:cs="Times New Roman"/>
                <w:b/>
                <w:bCs/>
                <w:color w:val="auto"/>
                <w:kern w:val="0"/>
                <w:szCs w:val="21"/>
                <w:highlight w:val="none"/>
                <w:lang w:bidi="zh-CN"/>
              </w:rPr>
            </w:pPr>
            <w:r>
              <w:rPr>
                <w:rFonts w:hint="default" w:ascii="Times New Roman" w:hAnsi="Times New Roman" w:cs="Times New Roman"/>
                <w:b/>
                <w:bCs/>
                <w:color w:val="auto"/>
                <w:kern w:val="0"/>
                <w:szCs w:val="21"/>
                <w:highlight w:val="none"/>
                <w:lang w:bidi="zh-CN"/>
              </w:rPr>
              <w:t>监测点位</w:t>
            </w:r>
          </w:p>
        </w:tc>
        <w:tc>
          <w:tcPr>
            <w:tcW w:w="500" w:type="pct"/>
            <w:vMerge w:val="restart"/>
            <w:tcBorders>
              <w:tl2br w:val="nil"/>
              <w:tr2bl w:val="nil"/>
            </w:tcBorders>
            <w:noWrap w:val="0"/>
            <w:vAlign w:val="center"/>
          </w:tcPr>
          <w:p>
            <w:pPr>
              <w:jc w:val="center"/>
              <w:rPr>
                <w:rFonts w:hint="default" w:ascii="Times New Roman" w:hAnsi="Times New Roman" w:cs="Times New Roman"/>
                <w:b/>
                <w:bCs/>
                <w:color w:val="auto"/>
                <w:kern w:val="0"/>
                <w:szCs w:val="21"/>
                <w:highlight w:val="none"/>
                <w:lang w:bidi="zh-CN"/>
              </w:rPr>
            </w:pPr>
            <w:r>
              <w:rPr>
                <w:rFonts w:hint="default" w:ascii="Times New Roman" w:hAnsi="Times New Roman" w:cs="Times New Roman"/>
                <w:b/>
                <w:bCs/>
                <w:color w:val="auto"/>
                <w:kern w:val="0"/>
                <w:szCs w:val="21"/>
                <w:highlight w:val="none"/>
                <w:lang w:bidi="zh-CN"/>
              </w:rPr>
              <w:t>监测项目</w:t>
            </w:r>
          </w:p>
        </w:tc>
        <w:tc>
          <w:tcPr>
            <w:tcW w:w="460" w:type="pct"/>
            <w:vMerge w:val="restart"/>
            <w:tcBorders>
              <w:tl2br w:val="nil"/>
              <w:tr2bl w:val="nil"/>
            </w:tcBorders>
            <w:noWrap w:val="0"/>
            <w:vAlign w:val="center"/>
          </w:tcPr>
          <w:p>
            <w:pPr>
              <w:jc w:val="center"/>
              <w:rPr>
                <w:rFonts w:hint="default" w:ascii="Times New Roman" w:hAnsi="Times New Roman" w:cs="Times New Roman"/>
                <w:b/>
                <w:bCs/>
                <w:color w:val="auto"/>
                <w:kern w:val="0"/>
                <w:szCs w:val="21"/>
                <w:highlight w:val="none"/>
                <w:lang w:bidi="zh-CN"/>
              </w:rPr>
            </w:pPr>
            <w:r>
              <w:rPr>
                <w:rFonts w:hint="default" w:ascii="Times New Roman" w:hAnsi="Times New Roman" w:cs="Times New Roman"/>
                <w:b/>
                <w:bCs/>
                <w:color w:val="auto"/>
                <w:kern w:val="0"/>
                <w:szCs w:val="21"/>
                <w:highlight w:val="none"/>
                <w:lang w:bidi="zh-CN"/>
              </w:rPr>
              <w:t>监测日期</w:t>
            </w:r>
          </w:p>
        </w:tc>
        <w:tc>
          <w:tcPr>
            <w:tcW w:w="1441" w:type="pct"/>
            <w:gridSpan w:val="4"/>
            <w:tcBorders>
              <w:tl2br w:val="nil"/>
              <w:tr2bl w:val="nil"/>
            </w:tcBorders>
            <w:noWrap w:val="0"/>
            <w:vAlign w:val="center"/>
          </w:tcPr>
          <w:p>
            <w:pPr>
              <w:jc w:val="center"/>
              <w:rPr>
                <w:rFonts w:hint="default" w:ascii="Times New Roman" w:hAnsi="Times New Roman" w:cs="Times New Roman"/>
                <w:b/>
                <w:bCs/>
                <w:color w:val="auto"/>
                <w:kern w:val="0"/>
                <w:szCs w:val="21"/>
                <w:highlight w:val="none"/>
                <w:lang w:bidi="zh-CN"/>
              </w:rPr>
            </w:pPr>
            <w:r>
              <w:rPr>
                <w:rFonts w:hint="default" w:ascii="Times New Roman" w:hAnsi="Times New Roman" w:cs="Times New Roman"/>
                <w:b/>
                <w:bCs/>
                <w:color w:val="auto"/>
                <w:kern w:val="0"/>
                <w:szCs w:val="21"/>
                <w:highlight w:val="none"/>
                <w:lang w:bidi="zh-CN"/>
              </w:rPr>
              <w:t>排放浓度</w:t>
            </w:r>
            <w:r>
              <w:rPr>
                <w:rFonts w:hint="default" w:ascii="Times New Roman" w:hAnsi="Times New Roman" w:cs="Times New Roman"/>
                <w:b/>
                <w:bCs/>
                <w:color w:val="auto"/>
                <w:w w:val="90"/>
                <w:kern w:val="0"/>
                <w:szCs w:val="21"/>
                <w:highlight w:val="none"/>
                <w:lang w:bidi="zh-CN"/>
              </w:rPr>
              <w:t>（mg/m</w:t>
            </w:r>
            <w:r>
              <w:rPr>
                <w:rFonts w:hint="default" w:ascii="Times New Roman" w:hAnsi="Times New Roman" w:cs="Times New Roman"/>
                <w:b/>
                <w:bCs/>
                <w:color w:val="auto"/>
                <w:w w:val="90"/>
                <w:kern w:val="0"/>
                <w:szCs w:val="21"/>
                <w:highlight w:val="none"/>
                <w:vertAlign w:val="superscript"/>
                <w:lang w:bidi="zh-CN"/>
              </w:rPr>
              <w:t>3</w:t>
            </w:r>
            <w:r>
              <w:rPr>
                <w:rFonts w:hint="default" w:ascii="Times New Roman" w:hAnsi="Times New Roman" w:cs="Times New Roman"/>
                <w:b/>
                <w:bCs/>
                <w:color w:val="auto"/>
                <w:w w:val="90"/>
                <w:kern w:val="0"/>
                <w:szCs w:val="21"/>
                <w:highlight w:val="none"/>
                <w:lang w:bidi="zh-CN"/>
              </w:rPr>
              <w:t>）</w:t>
            </w:r>
          </w:p>
        </w:tc>
        <w:tc>
          <w:tcPr>
            <w:tcW w:w="441" w:type="pct"/>
            <w:vMerge w:val="restart"/>
            <w:tcBorders>
              <w:tl2br w:val="nil"/>
              <w:tr2bl w:val="nil"/>
            </w:tcBorders>
            <w:noWrap w:val="0"/>
            <w:vAlign w:val="center"/>
          </w:tcPr>
          <w:p>
            <w:pPr>
              <w:jc w:val="center"/>
              <w:rPr>
                <w:rFonts w:hint="default" w:ascii="Times New Roman" w:hAnsi="Times New Roman" w:cs="Times New Roman"/>
                <w:b/>
                <w:bCs/>
                <w:color w:val="auto"/>
                <w:kern w:val="0"/>
                <w:szCs w:val="21"/>
                <w:highlight w:val="none"/>
                <w:lang w:bidi="zh-CN"/>
              </w:rPr>
            </w:pPr>
            <w:r>
              <w:rPr>
                <w:rFonts w:hint="default" w:ascii="Times New Roman" w:hAnsi="Times New Roman" w:cs="Times New Roman"/>
                <w:b/>
                <w:bCs/>
                <w:color w:val="auto"/>
                <w:kern w:val="0"/>
                <w:szCs w:val="21"/>
                <w:highlight w:val="none"/>
                <w:lang w:bidi="zh-CN"/>
              </w:rPr>
              <w:t>排放</w:t>
            </w:r>
          </w:p>
          <w:p>
            <w:pPr>
              <w:jc w:val="center"/>
              <w:rPr>
                <w:rFonts w:hint="default" w:ascii="Times New Roman" w:hAnsi="Times New Roman" w:cs="Times New Roman"/>
                <w:b/>
                <w:bCs/>
                <w:color w:val="auto"/>
                <w:kern w:val="0"/>
                <w:szCs w:val="21"/>
                <w:highlight w:val="none"/>
                <w:lang w:bidi="zh-CN"/>
              </w:rPr>
            </w:pPr>
            <w:r>
              <w:rPr>
                <w:rFonts w:hint="default" w:ascii="Times New Roman" w:hAnsi="Times New Roman" w:cs="Times New Roman"/>
                <w:b/>
                <w:bCs/>
                <w:color w:val="auto"/>
                <w:kern w:val="0"/>
                <w:szCs w:val="21"/>
                <w:highlight w:val="none"/>
                <w:lang w:bidi="zh-CN"/>
              </w:rPr>
              <w:t>速率</w:t>
            </w:r>
          </w:p>
          <w:p>
            <w:pPr>
              <w:jc w:val="center"/>
              <w:rPr>
                <w:rFonts w:hint="default" w:ascii="Times New Roman" w:hAnsi="Times New Roman" w:cs="Times New Roman"/>
                <w:b/>
                <w:bCs/>
                <w:color w:val="auto"/>
                <w:kern w:val="0"/>
                <w:szCs w:val="21"/>
                <w:highlight w:val="none"/>
                <w:lang w:bidi="zh-CN"/>
              </w:rPr>
            </w:pPr>
            <w:r>
              <w:rPr>
                <w:rFonts w:hint="default" w:ascii="Times New Roman" w:hAnsi="Times New Roman" w:cs="Times New Roman"/>
                <w:b/>
                <w:bCs/>
                <w:color w:val="auto"/>
                <w:kern w:val="0"/>
                <w:szCs w:val="21"/>
                <w:highlight w:val="none"/>
                <w:lang w:bidi="zh-CN"/>
              </w:rPr>
              <w:t>（kg/h）</w:t>
            </w:r>
          </w:p>
        </w:tc>
        <w:tc>
          <w:tcPr>
            <w:tcW w:w="823" w:type="pct"/>
            <w:gridSpan w:val="2"/>
            <w:tcBorders>
              <w:tl2br w:val="nil"/>
              <w:tr2bl w:val="nil"/>
            </w:tcBorders>
            <w:noWrap w:val="0"/>
            <w:vAlign w:val="center"/>
          </w:tcPr>
          <w:p>
            <w:pPr>
              <w:jc w:val="center"/>
              <w:rPr>
                <w:rFonts w:hint="default" w:ascii="Times New Roman" w:hAnsi="Times New Roman" w:cs="Times New Roman"/>
                <w:b/>
                <w:bCs/>
                <w:color w:val="auto"/>
                <w:kern w:val="0"/>
                <w:szCs w:val="21"/>
                <w:highlight w:val="none"/>
                <w:lang w:bidi="zh-CN"/>
              </w:rPr>
            </w:pPr>
            <w:r>
              <w:rPr>
                <w:rFonts w:hint="default" w:ascii="Times New Roman" w:hAnsi="Times New Roman" w:cs="Times New Roman"/>
                <w:b/>
                <w:bCs/>
                <w:color w:val="auto"/>
                <w:kern w:val="0"/>
                <w:szCs w:val="21"/>
                <w:highlight w:val="none"/>
                <w:lang w:bidi="zh-CN"/>
              </w:rPr>
              <w:t>执行标准</w:t>
            </w:r>
          </w:p>
          <w:p>
            <w:pPr>
              <w:jc w:val="center"/>
              <w:rPr>
                <w:rFonts w:hint="default" w:ascii="Times New Roman" w:hAnsi="Times New Roman" w:cs="Times New Roman"/>
                <w:b/>
                <w:bCs/>
                <w:color w:val="auto"/>
                <w:kern w:val="0"/>
                <w:szCs w:val="21"/>
                <w:highlight w:val="none"/>
                <w:lang w:bidi="zh-CN"/>
              </w:rPr>
            </w:pPr>
            <w:r>
              <w:rPr>
                <w:rFonts w:hint="default" w:ascii="Times New Roman" w:hAnsi="Times New Roman" w:cs="Times New Roman"/>
                <w:b/>
                <w:bCs/>
                <w:color w:val="auto"/>
                <w:kern w:val="0"/>
                <w:szCs w:val="21"/>
                <w:highlight w:val="none"/>
                <w:lang w:bidi="zh-CN"/>
              </w:rPr>
              <w:t>标准值</w:t>
            </w:r>
          </w:p>
        </w:tc>
        <w:tc>
          <w:tcPr>
            <w:tcW w:w="380" w:type="pct"/>
            <w:vMerge w:val="restart"/>
            <w:tcBorders>
              <w:tl2br w:val="nil"/>
              <w:tr2bl w:val="nil"/>
            </w:tcBorders>
            <w:noWrap w:val="0"/>
            <w:vAlign w:val="center"/>
          </w:tcPr>
          <w:p>
            <w:pPr>
              <w:jc w:val="center"/>
              <w:rPr>
                <w:rFonts w:hint="default" w:ascii="Times New Roman" w:hAnsi="Times New Roman" w:cs="Times New Roman"/>
                <w:b/>
                <w:bCs/>
                <w:color w:val="auto"/>
                <w:kern w:val="0"/>
                <w:szCs w:val="21"/>
                <w:highlight w:val="none"/>
                <w:lang w:bidi="zh-CN"/>
              </w:rPr>
            </w:pPr>
            <w:r>
              <w:rPr>
                <w:rFonts w:hint="default" w:ascii="Times New Roman" w:hAnsi="Times New Roman" w:cs="Times New Roman"/>
                <w:b/>
                <w:bCs/>
                <w:color w:val="auto"/>
                <w:kern w:val="0"/>
                <w:szCs w:val="21"/>
                <w:highlight w:val="none"/>
                <w:lang w:bidi="zh-CN"/>
              </w:rPr>
              <w:t>排气筒高度</w:t>
            </w:r>
          </w:p>
          <w:p>
            <w:pPr>
              <w:jc w:val="center"/>
              <w:rPr>
                <w:rFonts w:hint="default" w:ascii="Times New Roman" w:hAnsi="Times New Roman" w:cs="Times New Roman"/>
                <w:b/>
                <w:bCs/>
                <w:color w:val="auto"/>
                <w:kern w:val="0"/>
                <w:szCs w:val="21"/>
                <w:highlight w:val="none"/>
                <w:lang w:bidi="zh-CN"/>
              </w:rPr>
            </w:pPr>
            <w:r>
              <w:rPr>
                <w:rFonts w:hint="default" w:ascii="Times New Roman" w:hAnsi="Times New Roman" w:cs="Times New Roman"/>
                <w:b/>
                <w:bCs/>
                <w:color w:val="auto"/>
                <w:kern w:val="0"/>
                <w:szCs w:val="21"/>
                <w:highlight w:val="none"/>
                <w:lang w:bidi="zh-CN"/>
              </w:rPr>
              <w:t>（m）</w:t>
            </w:r>
          </w:p>
        </w:tc>
        <w:tc>
          <w:tcPr>
            <w:tcW w:w="440" w:type="pct"/>
            <w:vMerge w:val="restart"/>
            <w:tcBorders>
              <w:tl2br w:val="nil"/>
              <w:tr2bl w:val="nil"/>
            </w:tcBorders>
            <w:noWrap w:val="0"/>
            <w:vAlign w:val="center"/>
          </w:tcPr>
          <w:p>
            <w:pPr>
              <w:jc w:val="center"/>
              <w:rPr>
                <w:rFonts w:hint="default" w:ascii="Times New Roman" w:hAnsi="Times New Roman" w:cs="Times New Roman"/>
                <w:b/>
                <w:bCs/>
                <w:color w:val="auto"/>
                <w:kern w:val="0"/>
                <w:szCs w:val="21"/>
                <w:highlight w:val="none"/>
                <w:lang w:bidi="zh-CN"/>
              </w:rPr>
            </w:pPr>
            <w:r>
              <w:rPr>
                <w:rFonts w:hint="default" w:ascii="Times New Roman" w:hAnsi="Times New Roman" w:cs="Times New Roman"/>
                <w:b/>
                <w:bCs/>
                <w:color w:val="auto"/>
                <w:kern w:val="0"/>
                <w:szCs w:val="21"/>
                <w:highlight w:val="none"/>
                <w:lang w:bidi="zh-CN"/>
              </w:rPr>
              <w:t>废气标</w:t>
            </w:r>
          </w:p>
          <w:p>
            <w:pPr>
              <w:jc w:val="center"/>
              <w:rPr>
                <w:rFonts w:hint="default" w:ascii="Times New Roman" w:hAnsi="Times New Roman" w:cs="Times New Roman"/>
                <w:b/>
                <w:bCs/>
                <w:color w:val="auto"/>
                <w:kern w:val="0"/>
                <w:szCs w:val="21"/>
                <w:highlight w:val="none"/>
                <w:lang w:bidi="zh-CN"/>
              </w:rPr>
            </w:pPr>
            <w:r>
              <w:rPr>
                <w:rFonts w:hint="default" w:ascii="Times New Roman" w:hAnsi="Times New Roman" w:cs="Times New Roman"/>
                <w:b/>
                <w:bCs/>
                <w:color w:val="auto"/>
                <w:kern w:val="0"/>
                <w:szCs w:val="21"/>
                <w:highlight w:val="none"/>
                <w:lang w:bidi="zh-CN"/>
              </w:rPr>
              <w:t>干流量</w:t>
            </w:r>
            <w:r>
              <w:rPr>
                <w:rFonts w:hint="default" w:ascii="Times New Roman" w:hAnsi="Times New Roman" w:cs="Times New Roman"/>
                <w:b/>
                <w:bCs/>
                <w:color w:val="auto"/>
                <w:w w:val="90"/>
                <w:kern w:val="0"/>
                <w:szCs w:val="21"/>
                <w:highlight w:val="none"/>
                <w:lang w:bidi="zh-CN"/>
              </w:rPr>
              <w:t>（Nm</w:t>
            </w:r>
            <w:r>
              <w:rPr>
                <w:rFonts w:hint="default" w:ascii="Times New Roman" w:hAnsi="Times New Roman" w:cs="Times New Roman"/>
                <w:b/>
                <w:bCs/>
                <w:color w:val="auto"/>
                <w:w w:val="90"/>
                <w:kern w:val="0"/>
                <w:szCs w:val="21"/>
                <w:highlight w:val="none"/>
                <w:vertAlign w:val="superscript"/>
                <w:lang w:bidi="zh-CN"/>
              </w:rPr>
              <w:t>3</w:t>
            </w:r>
            <w:r>
              <w:rPr>
                <w:rFonts w:hint="default" w:ascii="Times New Roman" w:hAnsi="Times New Roman" w:cs="Times New Roman"/>
                <w:b/>
                <w:bCs/>
                <w:color w:val="auto"/>
                <w:w w:val="90"/>
                <w:kern w:val="0"/>
                <w:szCs w:val="21"/>
                <w:highlight w:val="none"/>
                <w:lang w:bidi="zh-CN"/>
              </w:rPr>
              <w:t>/h）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12" w:type="pct"/>
            <w:vMerge w:val="continue"/>
            <w:tcBorders>
              <w:tl2br w:val="nil"/>
              <w:tr2bl w:val="nil"/>
            </w:tcBorders>
            <w:noWrap w:val="0"/>
            <w:vAlign w:val="center"/>
          </w:tcPr>
          <w:p>
            <w:pPr>
              <w:jc w:val="center"/>
              <w:rPr>
                <w:rFonts w:hint="default" w:ascii="Times New Roman" w:hAnsi="Times New Roman" w:cs="Times New Roman"/>
                <w:color w:val="auto"/>
                <w:kern w:val="0"/>
                <w:szCs w:val="21"/>
                <w:highlight w:val="none"/>
                <w:lang w:bidi="zh-CN"/>
              </w:rPr>
            </w:pPr>
          </w:p>
        </w:tc>
        <w:tc>
          <w:tcPr>
            <w:tcW w:w="500" w:type="pct"/>
            <w:vMerge w:val="continue"/>
            <w:tcBorders>
              <w:tl2br w:val="nil"/>
              <w:tr2bl w:val="nil"/>
            </w:tcBorders>
            <w:noWrap w:val="0"/>
            <w:vAlign w:val="center"/>
          </w:tcPr>
          <w:p>
            <w:pPr>
              <w:jc w:val="center"/>
              <w:rPr>
                <w:rFonts w:hint="default" w:ascii="Times New Roman" w:hAnsi="Times New Roman" w:cs="Times New Roman"/>
                <w:color w:val="auto"/>
                <w:kern w:val="0"/>
                <w:szCs w:val="21"/>
                <w:highlight w:val="none"/>
                <w:lang w:bidi="zh-CN"/>
              </w:rPr>
            </w:pPr>
          </w:p>
        </w:tc>
        <w:tc>
          <w:tcPr>
            <w:tcW w:w="460" w:type="pct"/>
            <w:vMerge w:val="continue"/>
            <w:tcBorders>
              <w:tl2br w:val="nil"/>
              <w:tr2bl w:val="nil"/>
            </w:tcBorders>
            <w:noWrap w:val="0"/>
            <w:vAlign w:val="center"/>
          </w:tcPr>
          <w:p>
            <w:pPr>
              <w:jc w:val="center"/>
              <w:rPr>
                <w:rFonts w:hint="default" w:ascii="Times New Roman" w:hAnsi="Times New Roman" w:cs="Times New Roman"/>
                <w:color w:val="auto"/>
                <w:kern w:val="0"/>
                <w:szCs w:val="21"/>
                <w:highlight w:val="none"/>
                <w:lang w:bidi="zh-CN"/>
              </w:rPr>
            </w:pPr>
          </w:p>
        </w:tc>
        <w:tc>
          <w:tcPr>
            <w:tcW w:w="360" w:type="pct"/>
            <w:tcBorders>
              <w:tl2br w:val="nil"/>
              <w:tr2bl w:val="nil"/>
            </w:tcBorders>
            <w:noWrap w:val="0"/>
            <w:vAlign w:val="center"/>
          </w:tcPr>
          <w:p>
            <w:pPr>
              <w:jc w:val="center"/>
              <w:rPr>
                <w:rFonts w:hint="default" w:ascii="Times New Roman" w:hAnsi="Times New Roman" w:cs="Times New Roman"/>
                <w:b/>
                <w:bCs/>
                <w:color w:val="auto"/>
                <w:kern w:val="0"/>
                <w:szCs w:val="21"/>
                <w:highlight w:val="none"/>
                <w:lang w:bidi="zh-CN"/>
              </w:rPr>
            </w:pPr>
            <w:r>
              <w:rPr>
                <w:rFonts w:hint="default" w:ascii="Times New Roman" w:hAnsi="Times New Roman" w:cs="Times New Roman"/>
                <w:b/>
                <w:bCs/>
                <w:color w:val="auto"/>
                <w:kern w:val="0"/>
                <w:szCs w:val="21"/>
                <w:highlight w:val="none"/>
                <w:lang w:bidi="zh-CN"/>
              </w:rPr>
              <w:t>第一次</w:t>
            </w:r>
          </w:p>
        </w:tc>
        <w:tc>
          <w:tcPr>
            <w:tcW w:w="359" w:type="pct"/>
            <w:tcBorders>
              <w:tl2br w:val="nil"/>
              <w:tr2bl w:val="nil"/>
            </w:tcBorders>
            <w:noWrap w:val="0"/>
            <w:vAlign w:val="center"/>
          </w:tcPr>
          <w:p>
            <w:pPr>
              <w:jc w:val="center"/>
              <w:rPr>
                <w:rFonts w:hint="default" w:ascii="Times New Roman" w:hAnsi="Times New Roman" w:cs="Times New Roman"/>
                <w:b/>
                <w:bCs/>
                <w:color w:val="auto"/>
                <w:kern w:val="0"/>
                <w:szCs w:val="21"/>
                <w:highlight w:val="none"/>
                <w:lang w:bidi="zh-CN"/>
              </w:rPr>
            </w:pPr>
            <w:r>
              <w:rPr>
                <w:rFonts w:hint="default" w:ascii="Times New Roman" w:hAnsi="Times New Roman" w:cs="Times New Roman"/>
                <w:b/>
                <w:bCs/>
                <w:color w:val="auto"/>
                <w:kern w:val="0"/>
                <w:szCs w:val="21"/>
                <w:highlight w:val="none"/>
                <w:lang w:bidi="zh-CN"/>
              </w:rPr>
              <w:t>第二次</w:t>
            </w:r>
          </w:p>
        </w:tc>
        <w:tc>
          <w:tcPr>
            <w:tcW w:w="362" w:type="pct"/>
            <w:tcBorders>
              <w:tl2br w:val="nil"/>
              <w:tr2bl w:val="nil"/>
            </w:tcBorders>
            <w:noWrap w:val="0"/>
            <w:vAlign w:val="center"/>
          </w:tcPr>
          <w:p>
            <w:pPr>
              <w:jc w:val="center"/>
              <w:rPr>
                <w:rFonts w:hint="default" w:ascii="Times New Roman" w:hAnsi="Times New Roman" w:cs="Times New Roman"/>
                <w:b/>
                <w:bCs/>
                <w:color w:val="auto"/>
                <w:kern w:val="0"/>
                <w:szCs w:val="21"/>
                <w:highlight w:val="none"/>
                <w:lang w:bidi="zh-CN"/>
              </w:rPr>
            </w:pPr>
            <w:r>
              <w:rPr>
                <w:rFonts w:hint="default" w:ascii="Times New Roman" w:hAnsi="Times New Roman" w:cs="Times New Roman"/>
                <w:b/>
                <w:bCs/>
                <w:color w:val="auto"/>
                <w:kern w:val="0"/>
                <w:szCs w:val="21"/>
                <w:highlight w:val="none"/>
                <w:lang w:bidi="zh-CN"/>
              </w:rPr>
              <w:t>第三次</w:t>
            </w:r>
          </w:p>
        </w:tc>
        <w:tc>
          <w:tcPr>
            <w:tcW w:w="360" w:type="pct"/>
            <w:tcBorders>
              <w:tl2br w:val="nil"/>
              <w:tr2bl w:val="nil"/>
            </w:tcBorders>
            <w:noWrap w:val="0"/>
            <w:vAlign w:val="center"/>
          </w:tcPr>
          <w:p>
            <w:pPr>
              <w:jc w:val="center"/>
              <w:rPr>
                <w:rFonts w:hint="default" w:ascii="Times New Roman" w:hAnsi="Times New Roman" w:cs="Times New Roman"/>
                <w:b/>
                <w:bCs/>
                <w:color w:val="auto"/>
                <w:kern w:val="0"/>
                <w:szCs w:val="21"/>
                <w:highlight w:val="none"/>
                <w:lang w:bidi="zh-CN"/>
              </w:rPr>
            </w:pPr>
            <w:r>
              <w:rPr>
                <w:rFonts w:hint="default" w:ascii="Times New Roman" w:hAnsi="Times New Roman" w:cs="Times New Roman"/>
                <w:b/>
                <w:bCs/>
                <w:color w:val="auto"/>
                <w:kern w:val="0"/>
                <w:szCs w:val="21"/>
                <w:highlight w:val="none"/>
                <w:lang w:bidi="zh-CN"/>
              </w:rPr>
              <w:t>均值</w:t>
            </w:r>
          </w:p>
        </w:tc>
        <w:tc>
          <w:tcPr>
            <w:tcW w:w="441" w:type="pct"/>
            <w:vMerge w:val="continue"/>
            <w:tcBorders>
              <w:tl2br w:val="nil"/>
              <w:tr2bl w:val="nil"/>
            </w:tcBorders>
            <w:noWrap w:val="0"/>
            <w:vAlign w:val="center"/>
          </w:tcPr>
          <w:p>
            <w:pPr>
              <w:jc w:val="center"/>
              <w:rPr>
                <w:rFonts w:hint="default" w:ascii="Times New Roman" w:hAnsi="Times New Roman" w:cs="Times New Roman"/>
                <w:b/>
                <w:bCs/>
                <w:color w:val="auto"/>
                <w:kern w:val="0"/>
                <w:szCs w:val="21"/>
                <w:highlight w:val="none"/>
                <w:lang w:bidi="zh-CN"/>
              </w:rPr>
            </w:pPr>
          </w:p>
        </w:tc>
        <w:tc>
          <w:tcPr>
            <w:tcW w:w="428" w:type="pct"/>
            <w:tcBorders>
              <w:tl2br w:val="nil"/>
              <w:tr2bl w:val="nil"/>
            </w:tcBorders>
            <w:noWrap w:val="0"/>
            <w:vAlign w:val="center"/>
          </w:tcPr>
          <w:p>
            <w:pPr>
              <w:jc w:val="center"/>
              <w:rPr>
                <w:rFonts w:hint="default" w:ascii="Times New Roman" w:hAnsi="Times New Roman" w:cs="Times New Roman"/>
                <w:b/>
                <w:bCs/>
                <w:color w:val="auto"/>
                <w:kern w:val="0"/>
                <w:szCs w:val="21"/>
                <w:highlight w:val="none"/>
                <w:lang w:bidi="zh-CN"/>
              </w:rPr>
            </w:pPr>
            <w:r>
              <w:rPr>
                <w:rFonts w:hint="default" w:ascii="Times New Roman" w:hAnsi="Times New Roman" w:cs="Times New Roman"/>
                <w:b/>
                <w:bCs/>
                <w:color w:val="auto"/>
                <w:kern w:val="0"/>
                <w:szCs w:val="21"/>
                <w:highlight w:val="none"/>
                <w:lang w:bidi="zh-CN"/>
              </w:rPr>
              <w:t>浓度</w:t>
            </w:r>
            <w:r>
              <w:rPr>
                <w:rFonts w:hint="default" w:ascii="Times New Roman" w:hAnsi="Times New Roman" w:cs="Times New Roman"/>
                <w:b/>
                <w:bCs/>
                <w:color w:val="auto"/>
                <w:w w:val="90"/>
                <w:kern w:val="0"/>
                <w:szCs w:val="21"/>
                <w:highlight w:val="none"/>
                <w:lang w:bidi="zh-CN"/>
              </w:rPr>
              <w:t>（mg/m</w:t>
            </w:r>
            <w:r>
              <w:rPr>
                <w:rFonts w:hint="default" w:ascii="Times New Roman" w:hAnsi="Times New Roman" w:cs="Times New Roman"/>
                <w:b/>
                <w:bCs/>
                <w:color w:val="auto"/>
                <w:w w:val="90"/>
                <w:kern w:val="0"/>
                <w:szCs w:val="21"/>
                <w:highlight w:val="none"/>
                <w:vertAlign w:val="superscript"/>
                <w:lang w:bidi="zh-CN"/>
              </w:rPr>
              <w:t>3</w:t>
            </w:r>
            <w:r>
              <w:rPr>
                <w:rFonts w:hint="default" w:ascii="Times New Roman" w:hAnsi="Times New Roman" w:cs="Times New Roman"/>
                <w:b/>
                <w:bCs/>
                <w:color w:val="auto"/>
                <w:w w:val="90"/>
                <w:kern w:val="0"/>
                <w:szCs w:val="21"/>
                <w:highlight w:val="none"/>
                <w:lang w:bidi="zh-CN"/>
              </w:rPr>
              <w:t>）</w:t>
            </w:r>
          </w:p>
        </w:tc>
        <w:tc>
          <w:tcPr>
            <w:tcW w:w="395" w:type="pct"/>
            <w:tcBorders>
              <w:tl2br w:val="nil"/>
              <w:tr2bl w:val="nil"/>
            </w:tcBorders>
            <w:noWrap w:val="0"/>
            <w:vAlign w:val="center"/>
          </w:tcPr>
          <w:p>
            <w:pPr>
              <w:jc w:val="center"/>
              <w:rPr>
                <w:rFonts w:hint="default" w:ascii="Times New Roman" w:hAnsi="Times New Roman" w:cs="Times New Roman"/>
                <w:b/>
                <w:bCs/>
                <w:color w:val="auto"/>
                <w:kern w:val="0"/>
                <w:szCs w:val="21"/>
                <w:highlight w:val="none"/>
                <w:lang w:bidi="zh-CN"/>
              </w:rPr>
            </w:pPr>
            <w:r>
              <w:rPr>
                <w:rFonts w:hint="default" w:ascii="Times New Roman" w:hAnsi="Times New Roman" w:cs="Times New Roman"/>
                <w:b/>
                <w:bCs/>
                <w:color w:val="auto"/>
                <w:kern w:val="0"/>
                <w:szCs w:val="21"/>
                <w:highlight w:val="none"/>
                <w:lang w:bidi="zh-CN"/>
              </w:rPr>
              <w:t>速率（kg/h）</w:t>
            </w:r>
          </w:p>
        </w:tc>
        <w:tc>
          <w:tcPr>
            <w:tcW w:w="380" w:type="pct"/>
            <w:vMerge w:val="continue"/>
            <w:tcBorders>
              <w:tl2br w:val="nil"/>
              <w:tr2bl w:val="nil"/>
            </w:tcBorders>
            <w:noWrap w:val="0"/>
            <w:vAlign w:val="center"/>
          </w:tcPr>
          <w:p>
            <w:pPr>
              <w:jc w:val="center"/>
              <w:rPr>
                <w:rFonts w:hint="default" w:ascii="Times New Roman" w:hAnsi="Times New Roman" w:cs="Times New Roman"/>
                <w:color w:val="auto"/>
                <w:kern w:val="0"/>
                <w:szCs w:val="21"/>
                <w:highlight w:val="none"/>
                <w:lang w:bidi="zh-CN"/>
              </w:rPr>
            </w:pPr>
          </w:p>
        </w:tc>
        <w:tc>
          <w:tcPr>
            <w:tcW w:w="440" w:type="pct"/>
            <w:vMerge w:val="continue"/>
            <w:tcBorders>
              <w:tl2br w:val="nil"/>
              <w:tr2bl w:val="nil"/>
            </w:tcBorders>
            <w:noWrap w:val="0"/>
            <w:vAlign w:val="center"/>
          </w:tcPr>
          <w:p>
            <w:pPr>
              <w:jc w:val="center"/>
              <w:rPr>
                <w:rFonts w:hint="default" w:ascii="Times New Roman" w:hAnsi="Times New Roman" w:cs="Times New Roman"/>
                <w:color w:val="auto"/>
                <w:kern w:val="0"/>
                <w:szCs w:val="21"/>
                <w:highlight w:val="none"/>
                <w:lang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12" w:type="pct"/>
            <w:vMerge w:val="restart"/>
            <w:tcBorders>
              <w:tl2br w:val="nil"/>
              <w:tr2bl w:val="nil"/>
            </w:tcBorders>
            <w:noWrap w:val="0"/>
            <w:vAlign w:val="center"/>
          </w:tcPr>
          <w:p>
            <w:pPr>
              <w:pStyle w:val="48"/>
              <w:jc w:val="center"/>
              <w:rPr>
                <w:rFonts w:hint="default" w:ascii="Times New Roman" w:hAnsi="Times New Roman" w:eastAsia="宋体" w:cs="Times New Roman"/>
                <w:color w:val="auto"/>
                <w:kern w:val="0"/>
                <w:szCs w:val="21"/>
                <w:highlight w:val="none"/>
                <w:lang w:val="en-US" w:eastAsia="zh-CN" w:bidi="zh-CN"/>
              </w:rPr>
            </w:pPr>
            <w:r>
              <w:rPr>
                <w:rFonts w:hint="default" w:ascii="Times New Roman" w:hAnsi="Times New Roman" w:cs="Times New Roman"/>
                <w:color w:val="auto"/>
                <w:szCs w:val="21"/>
                <w:highlight w:val="none"/>
              </w:rPr>
              <w:t>◎1#</w:t>
            </w:r>
            <w:r>
              <w:rPr>
                <w:rFonts w:hint="default" w:ascii="Times New Roman" w:hAnsi="Times New Roman" w:cs="Times New Roman"/>
                <w:color w:val="auto"/>
                <w:szCs w:val="21"/>
                <w:highlight w:val="none"/>
                <w:lang w:val="en-US" w:eastAsia="zh-CN"/>
              </w:rPr>
              <w:t>废油液挥发有机废气</w:t>
            </w:r>
          </w:p>
        </w:tc>
        <w:tc>
          <w:tcPr>
            <w:tcW w:w="500" w:type="pct"/>
            <w:vMerge w:val="restart"/>
            <w:tcBorders>
              <w:tl2br w:val="nil"/>
              <w:tr2bl w:val="nil"/>
            </w:tcBorders>
            <w:noWrap w:val="0"/>
            <w:vAlign w:val="center"/>
          </w:tcPr>
          <w:p>
            <w:pPr>
              <w:pStyle w:val="48"/>
              <w:jc w:val="center"/>
              <w:rPr>
                <w:rFonts w:hint="default" w:ascii="Times New Roman" w:hAnsi="Times New Roman" w:cs="Times New Roman"/>
                <w:color w:val="auto"/>
                <w:kern w:val="0"/>
                <w:szCs w:val="21"/>
                <w:highlight w:val="none"/>
                <w:lang w:val="en-US" w:bidi="zh-CN"/>
              </w:rPr>
            </w:pPr>
            <w:r>
              <w:rPr>
                <w:rFonts w:hint="default" w:ascii="Times New Roman" w:hAnsi="Times New Roman" w:cs="Times New Roman"/>
                <w:color w:val="auto"/>
                <w:kern w:val="0"/>
                <w:szCs w:val="21"/>
                <w:highlight w:val="none"/>
                <w:lang w:val="en-US" w:bidi="zh-CN"/>
              </w:rPr>
              <w:t>非甲烷总烃</w:t>
            </w:r>
          </w:p>
        </w:tc>
        <w:tc>
          <w:tcPr>
            <w:tcW w:w="460" w:type="pct"/>
            <w:tcBorders>
              <w:tl2br w:val="nil"/>
              <w:tr2bl w:val="nil"/>
            </w:tcBorders>
            <w:noWrap w:val="0"/>
            <w:vAlign w:val="center"/>
          </w:tcPr>
          <w:p>
            <w:pPr>
              <w:pStyle w:val="48"/>
              <w:jc w:val="center"/>
              <w:rPr>
                <w:rFonts w:hint="default" w:ascii="Times New Roman" w:hAnsi="Times New Roman" w:eastAsia="宋体" w:cs="Times New Roman"/>
                <w:color w:val="auto"/>
                <w:kern w:val="0"/>
                <w:szCs w:val="21"/>
                <w:highlight w:val="none"/>
                <w:lang w:eastAsia="zh-CN" w:bidi="zh-CN"/>
              </w:rPr>
            </w:pPr>
            <w:r>
              <w:rPr>
                <w:rFonts w:hint="default" w:ascii="Times New Roman" w:hAnsi="Times New Roman" w:cs="Times New Roman"/>
                <w:color w:val="auto"/>
                <w:szCs w:val="21"/>
                <w:highlight w:val="none"/>
              </w:rPr>
              <w:t>202</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-2</w:t>
            </w:r>
            <w:r>
              <w:rPr>
                <w:rFonts w:hint="default" w:ascii="Times New Roman" w:hAnsi="Times New Roman" w:cs="Times New Roman"/>
                <w:color w:val="auto"/>
                <w:szCs w:val="21"/>
                <w:highlight w:val="none"/>
                <w:lang w:val="en-US" w:eastAsia="zh-CN"/>
              </w:rPr>
              <w:t>2</w:t>
            </w:r>
          </w:p>
        </w:tc>
        <w:tc>
          <w:tcPr>
            <w:tcW w:w="360" w:type="pct"/>
            <w:tcBorders>
              <w:tl2br w:val="nil"/>
              <w:tr2bl w:val="nil"/>
            </w:tcBorders>
            <w:noWrap w:val="0"/>
            <w:vAlign w:val="center"/>
          </w:tcPr>
          <w:p>
            <w:pPr>
              <w:spacing w:line="252" w:lineRule="exact"/>
              <w:ind w:left="20"/>
              <w:jc w:val="center"/>
              <w:rPr>
                <w:rFonts w:hint="default" w:ascii="Times New Roman" w:hAnsi="Times New Roman" w:cs="Times New Roman" w:eastAsiaTheme="minorEastAsia"/>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3.10</w:t>
            </w:r>
          </w:p>
        </w:tc>
        <w:tc>
          <w:tcPr>
            <w:tcW w:w="359" w:type="pct"/>
            <w:tcBorders>
              <w:tl2br w:val="nil"/>
              <w:tr2bl w:val="nil"/>
            </w:tcBorders>
            <w:noWrap w:val="0"/>
            <w:vAlign w:val="center"/>
          </w:tcPr>
          <w:p>
            <w:pPr>
              <w:spacing w:line="252" w:lineRule="exact"/>
              <w:ind w:left="20"/>
              <w:jc w:val="center"/>
              <w:rPr>
                <w:rFonts w:hint="default" w:ascii="Times New Roman" w:hAnsi="Times New Roman" w:cs="Times New Roman" w:eastAsiaTheme="minorEastAsia"/>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3.10</w:t>
            </w:r>
          </w:p>
        </w:tc>
        <w:tc>
          <w:tcPr>
            <w:tcW w:w="362" w:type="pct"/>
            <w:tcBorders>
              <w:tl2br w:val="nil"/>
              <w:tr2bl w:val="nil"/>
            </w:tcBorders>
            <w:noWrap w:val="0"/>
            <w:vAlign w:val="center"/>
          </w:tcPr>
          <w:p>
            <w:pPr>
              <w:spacing w:line="252" w:lineRule="exact"/>
              <w:ind w:left="20"/>
              <w:jc w:val="center"/>
              <w:rPr>
                <w:rFonts w:hint="default" w:ascii="Times New Roman" w:hAnsi="Times New Roman" w:cs="Times New Roman" w:eastAsiaTheme="minorEastAsia"/>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3.06</w:t>
            </w:r>
          </w:p>
        </w:tc>
        <w:tc>
          <w:tcPr>
            <w:tcW w:w="360"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fldChar w:fldCharType="begin"/>
            </w:r>
            <w:r>
              <w:rPr>
                <w:rFonts w:hint="default" w:ascii="Times New Roman" w:hAnsi="Times New Roman" w:cs="Times New Roman"/>
                <w:color w:val="auto"/>
                <w:szCs w:val="21"/>
                <w:highlight w:val="none"/>
              </w:rPr>
              <w:instrText xml:space="preserve"> = average(D3:F3) \* MERGEFORMAT </w:instrText>
            </w:r>
            <w:r>
              <w:rPr>
                <w:rFonts w:hint="default" w:ascii="Times New Roman" w:hAnsi="Times New Roman" w:cs="Times New Roman"/>
                <w:color w:val="auto"/>
                <w:szCs w:val="21"/>
                <w:highlight w:val="none"/>
              </w:rPr>
              <w:fldChar w:fldCharType="separate"/>
            </w:r>
            <w:r>
              <w:rPr>
                <w:rFonts w:hint="default" w:ascii="Times New Roman" w:hAnsi="Times New Roman" w:cs="Times New Roman"/>
                <w:color w:val="auto"/>
                <w:szCs w:val="21"/>
                <w:highlight w:val="none"/>
              </w:rPr>
              <w:t>3.0</w:t>
            </w:r>
            <w:r>
              <w:rPr>
                <w:rFonts w:hint="default" w:ascii="Times New Roman" w:hAnsi="Times New Roman" w:cs="Times New Roman"/>
                <w:color w:val="auto"/>
                <w:szCs w:val="21"/>
                <w:highlight w:val="none"/>
                <w:lang w:val="en-US" w:eastAsia="zh-CN"/>
              </w:rPr>
              <w:t>9</w:t>
            </w:r>
            <w:r>
              <w:rPr>
                <w:rFonts w:hint="default" w:ascii="Times New Roman" w:hAnsi="Times New Roman" w:cs="Times New Roman"/>
                <w:color w:val="auto"/>
                <w:szCs w:val="21"/>
                <w:highlight w:val="none"/>
              </w:rPr>
              <w:fldChar w:fldCharType="end"/>
            </w:r>
          </w:p>
        </w:tc>
        <w:tc>
          <w:tcPr>
            <w:tcW w:w="441" w:type="pct"/>
            <w:tcBorders>
              <w:tl2br w:val="nil"/>
              <w:tr2bl w:val="nil"/>
            </w:tcBorders>
            <w:noWrap w:val="0"/>
            <w:vAlign w:val="center"/>
          </w:tcPr>
          <w:p>
            <w:pPr>
              <w:jc w:val="center"/>
              <w:rPr>
                <w:rFonts w:hint="default" w:ascii="Times New Roman" w:hAnsi="Times New Roman" w:cs="Times New Roman"/>
                <w:color w:val="auto"/>
                <w:kern w:val="0"/>
                <w:szCs w:val="21"/>
                <w:highlight w:val="none"/>
                <w:lang w:val="en-US" w:bidi="zh-CN"/>
              </w:rPr>
            </w:pPr>
            <w:r>
              <w:rPr>
                <w:rFonts w:hint="default" w:ascii="Times New Roman" w:hAnsi="Times New Roman" w:cs="Times New Roman"/>
                <w:color w:val="auto"/>
                <w:kern w:val="0"/>
                <w:szCs w:val="21"/>
                <w:highlight w:val="none"/>
                <w:lang w:val="en-US" w:bidi="zh-CN"/>
              </w:rPr>
              <w:t>0.022</w:t>
            </w:r>
          </w:p>
        </w:tc>
        <w:tc>
          <w:tcPr>
            <w:tcW w:w="428" w:type="pct"/>
            <w:vMerge w:val="restart"/>
            <w:tcBorders>
              <w:tl2br w:val="nil"/>
              <w:tr2bl w:val="nil"/>
            </w:tcBorders>
            <w:noWrap w:val="0"/>
            <w:vAlign w:val="center"/>
          </w:tcPr>
          <w:p>
            <w:pPr>
              <w:pStyle w:val="48"/>
              <w:jc w:val="center"/>
              <w:rPr>
                <w:rFonts w:hint="default" w:ascii="Times New Roman" w:hAnsi="Times New Roman" w:eastAsia="宋体" w:cs="Times New Roman"/>
                <w:color w:val="auto"/>
                <w:kern w:val="0"/>
                <w:szCs w:val="21"/>
                <w:highlight w:val="none"/>
                <w:lang w:val="en-US" w:eastAsia="zh-CN" w:bidi="zh-CN"/>
              </w:rPr>
            </w:pP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120</w:t>
            </w:r>
          </w:p>
        </w:tc>
        <w:tc>
          <w:tcPr>
            <w:tcW w:w="395" w:type="pct"/>
            <w:vMerge w:val="restart"/>
            <w:tcBorders>
              <w:tl2br w:val="nil"/>
              <w:tr2bl w:val="nil"/>
            </w:tcBorders>
            <w:noWrap w:val="0"/>
            <w:vAlign w:val="center"/>
          </w:tcPr>
          <w:p>
            <w:pPr>
              <w:jc w:val="center"/>
              <w:rPr>
                <w:rFonts w:hint="default" w:ascii="Times New Roman" w:hAnsi="Times New Roman" w:cs="Times New Roman"/>
                <w:color w:val="auto"/>
                <w:kern w:val="0"/>
                <w:szCs w:val="21"/>
                <w:highlight w:val="none"/>
                <w:lang w:bidi="zh-CN"/>
              </w:rPr>
            </w:pP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10</w:t>
            </w:r>
          </w:p>
        </w:tc>
        <w:tc>
          <w:tcPr>
            <w:tcW w:w="380" w:type="pct"/>
            <w:vMerge w:val="restart"/>
            <w:tcBorders>
              <w:tl2br w:val="nil"/>
              <w:tr2bl w:val="nil"/>
            </w:tcBorders>
            <w:noWrap w:val="0"/>
            <w:vAlign w:val="center"/>
          </w:tcPr>
          <w:p>
            <w:pPr>
              <w:jc w:val="center"/>
              <w:rPr>
                <w:rFonts w:hint="default" w:ascii="Times New Roman" w:hAnsi="Times New Roman" w:cs="Times New Roman"/>
                <w:color w:val="auto"/>
                <w:kern w:val="0"/>
                <w:szCs w:val="21"/>
                <w:highlight w:val="none"/>
                <w:lang w:val="en-US" w:bidi="zh-CN"/>
              </w:rPr>
            </w:pPr>
            <w:r>
              <w:rPr>
                <w:rFonts w:hint="default" w:ascii="Times New Roman" w:hAnsi="Times New Roman" w:cs="Times New Roman"/>
                <w:color w:val="auto"/>
                <w:kern w:val="0"/>
                <w:szCs w:val="21"/>
                <w:highlight w:val="none"/>
                <w:lang w:val="en-US" w:bidi="zh-CN"/>
              </w:rPr>
              <w:t>15</w:t>
            </w:r>
          </w:p>
        </w:tc>
        <w:tc>
          <w:tcPr>
            <w:tcW w:w="440" w:type="pct"/>
            <w:tcBorders>
              <w:tl2br w:val="nil"/>
              <w:tr2bl w:val="nil"/>
            </w:tcBorders>
            <w:noWrap w:val="0"/>
            <w:vAlign w:val="center"/>
          </w:tcPr>
          <w:p>
            <w:pPr>
              <w:jc w:val="center"/>
              <w:rPr>
                <w:rFonts w:hint="default" w:ascii="Times New Roman" w:hAnsi="Times New Roman" w:cs="Times New Roman"/>
                <w:color w:val="auto"/>
                <w:kern w:val="0"/>
                <w:szCs w:val="21"/>
                <w:highlight w:val="none"/>
                <w:lang w:val="en-US" w:bidi="zh-CN"/>
              </w:rPr>
            </w:pPr>
            <w:r>
              <w:rPr>
                <w:rFonts w:hint="eastAsia" w:ascii="Times New Roman" w:hAnsi="Times New Roman" w:cs="Times New Roman"/>
                <w:color w:val="auto"/>
                <w:kern w:val="0"/>
                <w:szCs w:val="21"/>
                <w:highlight w:val="none"/>
                <w:lang w:val="en-US" w:bidi="zh-CN"/>
              </w:rPr>
              <w:t>7041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12" w:type="pct"/>
            <w:vMerge w:val="continue"/>
            <w:tcBorders>
              <w:tl2br w:val="nil"/>
              <w:tr2bl w:val="nil"/>
            </w:tcBorders>
            <w:noWrap w:val="0"/>
            <w:vAlign w:val="center"/>
          </w:tcPr>
          <w:p>
            <w:pPr>
              <w:jc w:val="center"/>
              <w:rPr>
                <w:rFonts w:hint="default" w:ascii="Times New Roman" w:hAnsi="Times New Roman" w:cs="Times New Roman"/>
                <w:color w:val="auto"/>
                <w:kern w:val="0"/>
                <w:szCs w:val="21"/>
                <w:highlight w:val="none"/>
                <w:lang w:bidi="zh-CN"/>
              </w:rPr>
            </w:pPr>
          </w:p>
        </w:tc>
        <w:tc>
          <w:tcPr>
            <w:tcW w:w="500" w:type="pct"/>
            <w:vMerge w:val="continue"/>
            <w:tcBorders>
              <w:tl2br w:val="nil"/>
              <w:tr2bl w:val="nil"/>
            </w:tcBorders>
            <w:noWrap w:val="0"/>
            <w:vAlign w:val="center"/>
          </w:tcPr>
          <w:p>
            <w:pPr>
              <w:pStyle w:val="48"/>
              <w:jc w:val="center"/>
              <w:rPr>
                <w:rFonts w:hint="default" w:ascii="Times New Roman" w:hAnsi="Times New Roman" w:cs="Times New Roman"/>
                <w:color w:val="auto"/>
                <w:kern w:val="0"/>
                <w:szCs w:val="21"/>
                <w:highlight w:val="none"/>
                <w:lang w:bidi="zh-CN"/>
              </w:rPr>
            </w:pPr>
          </w:p>
        </w:tc>
        <w:tc>
          <w:tcPr>
            <w:tcW w:w="460" w:type="pct"/>
            <w:tcBorders>
              <w:tl2br w:val="nil"/>
              <w:tr2bl w:val="nil"/>
            </w:tcBorders>
            <w:noWrap w:val="0"/>
            <w:vAlign w:val="center"/>
          </w:tcPr>
          <w:p>
            <w:pPr>
              <w:jc w:val="center"/>
              <w:rPr>
                <w:rFonts w:hint="default" w:ascii="Times New Roman" w:hAnsi="Times New Roman" w:cs="Times New Roman" w:eastAsiaTheme="minorEastAsia"/>
                <w:color w:val="auto"/>
                <w:kern w:val="0"/>
                <w:szCs w:val="21"/>
                <w:highlight w:val="none"/>
                <w:lang w:eastAsia="zh-CN" w:bidi="zh-CN"/>
              </w:rPr>
            </w:pPr>
            <w:r>
              <w:rPr>
                <w:rFonts w:hint="default" w:ascii="Times New Roman" w:hAnsi="Times New Roman" w:cs="Times New Roman"/>
                <w:color w:val="auto"/>
                <w:szCs w:val="21"/>
                <w:highlight w:val="none"/>
              </w:rPr>
              <w:t>202</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-2</w:t>
            </w:r>
            <w:r>
              <w:rPr>
                <w:rFonts w:hint="default" w:ascii="Times New Roman" w:hAnsi="Times New Roman" w:cs="Times New Roman"/>
                <w:color w:val="auto"/>
                <w:szCs w:val="21"/>
                <w:highlight w:val="none"/>
                <w:lang w:val="en-US" w:eastAsia="zh-CN"/>
              </w:rPr>
              <w:t>3</w:t>
            </w:r>
          </w:p>
        </w:tc>
        <w:tc>
          <w:tcPr>
            <w:tcW w:w="360" w:type="pct"/>
            <w:tcBorders>
              <w:tl2br w:val="nil"/>
              <w:tr2bl w:val="nil"/>
            </w:tcBorders>
            <w:noWrap w:val="0"/>
            <w:vAlign w:val="center"/>
          </w:tcPr>
          <w:p>
            <w:pPr>
              <w:spacing w:line="252" w:lineRule="exact"/>
              <w:ind w:left="20"/>
              <w:jc w:val="center"/>
              <w:rPr>
                <w:rFonts w:hint="default" w:ascii="Times New Roman" w:hAnsi="Times New Roman" w:cs="Times New Roman" w:eastAsiaTheme="minorEastAsia"/>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3.08</w:t>
            </w:r>
          </w:p>
        </w:tc>
        <w:tc>
          <w:tcPr>
            <w:tcW w:w="359" w:type="pct"/>
            <w:tcBorders>
              <w:tl2br w:val="nil"/>
              <w:tr2bl w:val="nil"/>
            </w:tcBorders>
            <w:noWrap w:val="0"/>
            <w:vAlign w:val="center"/>
          </w:tcPr>
          <w:p>
            <w:pPr>
              <w:spacing w:line="252" w:lineRule="exact"/>
              <w:ind w:left="20"/>
              <w:jc w:val="center"/>
              <w:rPr>
                <w:rFonts w:hint="default" w:ascii="Times New Roman" w:hAnsi="Times New Roman" w:cs="Times New Roman" w:eastAsiaTheme="minorEastAsia"/>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3.08</w:t>
            </w:r>
          </w:p>
        </w:tc>
        <w:tc>
          <w:tcPr>
            <w:tcW w:w="362" w:type="pct"/>
            <w:tcBorders>
              <w:tl2br w:val="nil"/>
              <w:tr2bl w:val="nil"/>
            </w:tcBorders>
            <w:noWrap w:val="0"/>
            <w:vAlign w:val="center"/>
          </w:tcPr>
          <w:p>
            <w:pPr>
              <w:spacing w:line="252" w:lineRule="exact"/>
              <w:ind w:left="20"/>
              <w:jc w:val="center"/>
              <w:rPr>
                <w:rFonts w:hint="default" w:ascii="Times New Roman" w:hAnsi="Times New Roman" w:cs="Times New Roman" w:eastAsiaTheme="minorEastAsia"/>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3.12</w:t>
            </w:r>
          </w:p>
        </w:tc>
        <w:tc>
          <w:tcPr>
            <w:tcW w:w="360"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fldChar w:fldCharType="begin"/>
            </w:r>
            <w:r>
              <w:rPr>
                <w:rFonts w:hint="default" w:ascii="Times New Roman" w:hAnsi="Times New Roman" w:cs="Times New Roman"/>
                <w:color w:val="auto"/>
                <w:szCs w:val="21"/>
                <w:highlight w:val="none"/>
              </w:rPr>
              <w:instrText xml:space="preserve"> = average(D4:F4) \* MERGEFORMAT </w:instrText>
            </w:r>
            <w:r>
              <w:rPr>
                <w:rFonts w:hint="default" w:ascii="Times New Roman" w:hAnsi="Times New Roman" w:cs="Times New Roman"/>
                <w:color w:val="auto"/>
                <w:szCs w:val="21"/>
                <w:highlight w:val="none"/>
              </w:rPr>
              <w:fldChar w:fldCharType="separate"/>
            </w:r>
            <w:r>
              <w:rPr>
                <w:rFonts w:hint="default" w:ascii="Times New Roman" w:hAnsi="Times New Roman" w:cs="Times New Roman"/>
                <w:color w:val="auto"/>
                <w:szCs w:val="21"/>
                <w:highlight w:val="none"/>
              </w:rPr>
              <w:t>3.09</w:t>
            </w:r>
            <w:r>
              <w:rPr>
                <w:rFonts w:hint="default" w:ascii="Times New Roman" w:hAnsi="Times New Roman" w:cs="Times New Roman"/>
                <w:color w:val="auto"/>
                <w:szCs w:val="21"/>
                <w:highlight w:val="none"/>
              </w:rPr>
              <w:fldChar w:fldCharType="end"/>
            </w:r>
          </w:p>
        </w:tc>
        <w:tc>
          <w:tcPr>
            <w:tcW w:w="441" w:type="pct"/>
            <w:tcBorders>
              <w:tl2br w:val="nil"/>
              <w:tr2bl w:val="nil"/>
            </w:tcBorders>
            <w:noWrap w:val="0"/>
            <w:vAlign w:val="center"/>
          </w:tcPr>
          <w:p>
            <w:pPr>
              <w:jc w:val="center"/>
              <w:rPr>
                <w:rFonts w:hint="default" w:ascii="Times New Roman" w:hAnsi="Times New Roman" w:cs="Times New Roman"/>
                <w:color w:val="auto"/>
                <w:kern w:val="0"/>
                <w:szCs w:val="21"/>
                <w:highlight w:val="none"/>
                <w:lang w:val="en-US" w:bidi="zh-CN"/>
              </w:rPr>
            </w:pPr>
            <w:r>
              <w:rPr>
                <w:rFonts w:hint="default" w:ascii="Times New Roman" w:hAnsi="Times New Roman" w:cs="Times New Roman"/>
                <w:color w:val="auto"/>
                <w:kern w:val="0"/>
                <w:szCs w:val="21"/>
                <w:highlight w:val="none"/>
                <w:lang w:val="en-US" w:bidi="zh-CN"/>
              </w:rPr>
              <w:t>0.022</w:t>
            </w:r>
          </w:p>
        </w:tc>
        <w:tc>
          <w:tcPr>
            <w:tcW w:w="428" w:type="pct"/>
            <w:vMerge w:val="continue"/>
            <w:tcBorders>
              <w:tl2br w:val="nil"/>
              <w:tr2bl w:val="nil"/>
            </w:tcBorders>
            <w:noWrap w:val="0"/>
            <w:vAlign w:val="center"/>
          </w:tcPr>
          <w:p>
            <w:pPr>
              <w:pStyle w:val="48"/>
              <w:jc w:val="center"/>
              <w:rPr>
                <w:rFonts w:hint="default" w:ascii="Times New Roman" w:hAnsi="Times New Roman" w:cs="Times New Roman"/>
                <w:color w:val="auto"/>
                <w:kern w:val="0"/>
                <w:szCs w:val="21"/>
                <w:highlight w:val="none"/>
                <w:lang w:bidi="zh-CN"/>
              </w:rPr>
            </w:pPr>
          </w:p>
        </w:tc>
        <w:tc>
          <w:tcPr>
            <w:tcW w:w="395" w:type="pct"/>
            <w:vMerge w:val="continue"/>
            <w:tcBorders>
              <w:tl2br w:val="nil"/>
              <w:tr2bl w:val="nil"/>
            </w:tcBorders>
            <w:noWrap w:val="0"/>
            <w:vAlign w:val="center"/>
          </w:tcPr>
          <w:p>
            <w:pPr>
              <w:jc w:val="center"/>
              <w:rPr>
                <w:rFonts w:hint="default" w:ascii="Times New Roman" w:hAnsi="Times New Roman" w:cs="Times New Roman"/>
                <w:color w:val="auto"/>
                <w:kern w:val="0"/>
                <w:szCs w:val="21"/>
                <w:highlight w:val="none"/>
                <w:lang w:bidi="zh-CN"/>
              </w:rPr>
            </w:pPr>
          </w:p>
        </w:tc>
        <w:tc>
          <w:tcPr>
            <w:tcW w:w="380" w:type="pct"/>
            <w:vMerge w:val="continue"/>
            <w:tcBorders>
              <w:tl2br w:val="nil"/>
              <w:tr2bl w:val="nil"/>
            </w:tcBorders>
            <w:noWrap w:val="0"/>
            <w:vAlign w:val="center"/>
          </w:tcPr>
          <w:p>
            <w:pPr>
              <w:jc w:val="center"/>
              <w:rPr>
                <w:rFonts w:hint="default" w:ascii="Times New Roman" w:hAnsi="Times New Roman" w:cs="Times New Roman"/>
                <w:color w:val="auto"/>
                <w:kern w:val="0"/>
                <w:szCs w:val="21"/>
                <w:highlight w:val="none"/>
                <w:lang w:bidi="zh-CN"/>
              </w:rPr>
            </w:pPr>
          </w:p>
        </w:tc>
        <w:tc>
          <w:tcPr>
            <w:tcW w:w="440" w:type="pct"/>
            <w:tcBorders>
              <w:tl2br w:val="nil"/>
              <w:tr2bl w:val="nil"/>
            </w:tcBorders>
            <w:noWrap w:val="0"/>
            <w:vAlign w:val="center"/>
          </w:tcPr>
          <w:p>
            <w:pPr>
              <w:jc w:val="center"/>
              <w:rPr>
                <w:rFonts w:hint="default" w:ascii="Times New Roman" w:hAnsi="Times New Roman" w:cs="Times New Roman"/>
                <w:color w:val="auto"/>
                <w:kern w:val="0"/>
                <w:szCs w:val="21"/>
                <w:highlight w:val="none"/>
                <w:lang w:val="en-US" w:bidi="zh-CN"/>
              </w:rPr>
            </w:pPr>
            <w:r>
              <w:rPr>
                <w:rFonts w:hint="eastAsia" w:ascii="Times New Roman" w:hAnsi="Times New Roman" w:cs="Times New Roman"/>
                <w:color w:val="auto"/>
                <w:kern w:val="0"/>
                <w:szCs w:val="21"/>
                <w:highlight w:val="none"/>
                <w:lang w:val="en-US" w:bidi="zh-CN"/>
              </w:rPr>
              <w:t>7050</w:t>
            </w:r>
          </w:p>
        </w:tc>
      </w:tr>
    </w:tbl>
    <w:p>
      <w:pPr>
        <w:widowControl/>
        <w:spacing w:line="360" w:lineRule="auto"/>
        <w:jc w:val="left"/>
        <w:rPr>
          <w:rFonts w:ascii="Times New Roman" w:hAnsi="Times New Roman" w:cs="Times New Roman"/>
          <w:color w:val="auto"/>
          <w:sz w:val="24"/>
          <w:szCs w:val="24"/>
          <w:highlight w:val="none"/>
        </w:rPr>
        <w:sectPr>
          <w:pgSz w:w="16838" w:h="11906" w:orient="landscape"/>
          <w:pgMar w:top="1803" w:right="1440" w:bottom="1803" w:left="1440" w:header="680" w:footer="992" w:gutter="0"/>
          <w:pgBorders>
            <w:top w:val="none" w:sz="0" w:space="0"/>
            <w:left w:val="none" w:sz="0" w:space="0"/>
            <w:bottom w:val="none" w:sz="0" w:space="0"/>
            <w:right w:val="none" w:sz="0" w:space="0"/>
          </w:pgBorders>
          <w:cols w:space="0" w:num="1"/>
          <w:docGrid w:type="lines" w:linePitch="312" w:charSpace="0"/>
        </w:sectPr>
      </w:pPr>
    </w:p>
    <w:p>
      <w:pPr>
        <w:widowControl/>
        <w:jc w:val="center"/>
        <w:rPr>
          <w:rFonts w:ascii="Times New Roman" w:hAnsi="Times New Roman" w:cs="Times New Roman"/>
          <w:b/>
          <w:bCs/>
          <w:color w:val="auto"/>
          <w:sz w:val="24"/>
          <w:szCs w:val="24"/>
          <w:highlight w:val="none"/>
        </w:rPr>
      </w:pPr>
    </w:p>
    <w:p>
      <w:pPr>
        <w:widowControl/>
        <w:jc w:val="center"/>
        <w:rPr>
          <w:rFonts w:ascii="Times New Roman" w:hAnsi="Times New Roman" w:cs="Times New Roman"/>
          <w:color w:val="auto"/>
          <w:sz w:val="24"/>
          <w:szCs w:val="24"/>
          <w:highlight w:val="none"/>
        </w:rPr>
      </w:pPr>
      <w:r>
        <w:rPr>
          <w:rFonts w:ascii="Times New Roman" w:hAnsi="Times New Roman" w:cs="Times New Roman"/>
          <w:b/>
          <w:bCs/>
          <w:color w:val="auto"/>
          <w:sz w:val="24"/>
          <w:szCs w:val="24"/>
          <w:highlight w:val="none"/>
        </w:rPr>
        <w:t>表9-</w:t>
      </w:r>
      <w:r>
        <w:rPr>
          <w:rFonts w:hint="eastAsia" w:ascii="Times New Roman" w:hAnsi="Times New Roman" w:cs="Times New Roman"/>
          <w:b/>
          <w:bCs/>
          <w:color w:val="auto"/>
          <w:sz w:val="24"/>
          <w:szCs w:val="24"/>
          <w:highlight w:val="none"/>
          <w:lang w:val="en-US" w:eastAsia="zh-CN"/>
        </w:rPr>
        <w:t xml:space="preserve">4 </w:t>
      </w:r>
      <w:r>
        <w:rPr>
          <w:rFonts w:hint="eastAsia" w:ascii="Times New Roman" w:hAnsi="Times New Roman" w:cs="Times New Roman"/>
          <w:b/>
          <w:bCs/>
          <w:color w:val="auto"/>
          <w:sz w:val="24"/>
          <w:szCs w:val="24"/>
          <w:highlight w:val="none"/>
          <w:lang w:eastAsia="zh-CN"/>
        </w:rPr>
        <w:t>厂区内挥发性有机物</w:t>
      </w:r>
      <w:r>
        <w:rPr>
          <w:rFonts w:ascii="Times New Roman" w:hAnsi="Times New Roman" w:cs="Times New Roman"/>
          <w:b/>
          <w:bCs/>
          <w:color w:val="auto"/>
          <w:sz w:val="24"/>
          <w:szCs w:val="24"/>
          <w:highlight w:val="none"/>
        </w:rPr>
        <w:t>监测结果</w:t>
      </w:r>
    </w:p>
    <w:tbl>
      <w:tblPr>
        <w:tblStyle w:val="23"/>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75"/>
        <w:gridCol w:w="1462"/>
        <w:gridCol w:w="1245"/>
        <w:gridCol w:w="1522"/>
        <w:gridCol w:w="1237"/>
        <w:gridCol w:w="1175"/>
        <w:gridCol w:w="120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blHeader/>
        </w:trPr>
        <w:tc>
          <w:tcPr>
            <w:tcW w:w="396" w:type="pct"/>
            <w:tcBorders>
              <w:tl2br w:val="nil"/>
              <w:tr2bl w:val="nil"/>
            </w:tcBorders>
            <w:noWrap w:val="0"/>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检测点号</w:t>
            </w:r>
          </w:p>
        </w:tc>
        <w:tc>
          <w:tcPr>
            <w:tcW w:w="858" w:type="pct"/>
            <w:tcBorders>
              <w:tl2br w:val="nil"/>
              <w:tr2bl w:val="nil"/>
            </w:tcBorders>
            <w:noWrap w:val="0"/>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检测点位</w:t>
            </w:r>
          </w:p>
        </w:tc>
        <w:tc>
          <w:tcPr>
            <w:tcW w:w="1624" w:type="pct"/>
            <w:gridSpan w:val="2"/>
            <w:tcBorders>
              <w:tl2br w:val="nil"/>
              <w:tr2bl w:val="nil"/>
            </w:tcBorders>
            <w:noWrap w:val="0"/>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采样日期</w:t>
            </w:r>
          </w:p>
        </w:tc>
        <w:tc>
          <w:tcPr>
            <w:tcW w:w="726" w:type="pct"/>
            <w:tcBorders>
              <w:tl2br w:val="nil"/>
              <w:tr2bl w:val="nil"/>
            </w:tcBorders>
            <w:noWrap w:val="0"/>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检测项目</w:t>
            </w:r>
          </w:p>
        </w:tc>
        <w:tc>
          <w:tcPr>
            <w:tcW w:w="689" w:type="pct"/>
            <w:tcBorders>
              <w:tl2br w:val="nil"/>
              <w:tr2bl w:val="nil"/>
            </w:tcBorders>
            <w:noWrap w:val="0"/>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检测结果mg/m</w:t>
            </w:r>
            <w:r>
              <w:rPr>
                <w:rFonts w:hint="default" w:ascii="Times New Roman" w:hAnsi="Times New Roman" w:cs="Times New Roman"/>
                <w:b/>
                <w:color w:val="auto"/>
                <w:sz w:val="21"/>
                <w:szCs w:val="21"/>
                <w:highlight w:val="none"/>
                <w:vertAlign w:val="superscript"/>
              </w:rPr>
              <w:t>3</w:t>
            </w:r>
          </w:p>
        </w:tc>
        <w:tc>
          <w:tcPr>
            <w:tcW w:w="704" w:type="pct"/>
            <w:tcBorders>
              <w:tl2br w:val="nil"/>
              <w:tr2bl w:val="nil"/>
            </w:tcBorders>
            <w:noWrap w:val="0"/>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标准限值mg/m</w:t>
            </w:r>
            <w:r>
              <w:rPr>
                <w:rFonts w:hint="default" w:ascii="Times New Roman" w:hAnsi="Times New Roman" w:cs="Times New Roman"/>
                <w:b/>
                <w:color w:val="auto"/>
                <w:sz w:val="21"/>
                <w:szCs w:val="21"/>
                <w:highlight w:val="none"/>
                <w:vertAlign w:val="superscript"/>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r>
              <w:rPr>
                <w:rFonts w:hint="default" w:ascii="Times New Roman" w:hAnsi="Times New Roman" w:cs="Times New Roman"/>
                <w:color w:val="auto"/>
                <w:sz w:val="21"/>
                <w:szCs w:val="21"/>
                <w:highlight w:val="none"/>
              </w:rPr>
              <w:t>4#</w:t>
            </w:r>
          </w:p>
        </w:tc>
        <w:tc>
          <w:tcPr>
            <w:tcW w:w="858"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厂房一车间外1m监测点</w:t>
            </w:r>
          </w:p>
        </w:tc>
        <w:tc>
          <w:tcPr>
            <w:tcW w:w="730" w:type="pct"/>
            <w:vMerge w:val="restart"/>
            <w:tcBorders>
              <w:tl2br w:val="nil"/>
              <w:tr2bl w:val="nil"/>
            </w:tcBorders>
            <w:noWrap w:val="0"/>
            <w:vAlign w:val="center"/>
          </w:tcPr>
          <w:p>
            <w:pPr>
              <w:jc w:val="center"/>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color w:val="auto"/>
                <w:sz w:val="21"/>
                <w:szCs w:val="21"/>
                <w:highlight w:val="none"/>
                <w:lang w:eastAsia="zh-CN"/>
              </w:rPr>
              <w:t>2022-01-11</w:t>
            </w: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08:07～09:07</w:t>
            </w:r>
          </w:p>
        </w:tc>
        <w:tc>
          <w:tcPr>
            <w:tcW w:w="726"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非甲烷总烃</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（以C计）</w:t>
            </w: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1.80</w:t>
            </w:r>
          </w:p>
        </w:tc>
        <w:tc>
          <w:tcPr>
            <w:tcW w:w="704"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（小时浓度限值）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58"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30"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09:21～10:21</w:t>
            </w:r>
          </w:p>
        </w:tc>
        <w:tc>
          <w:tcPr>
            <w:tcW w:w="72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1.67</w:t>
            </w:r>
          </w:p>
        </w:tc>
        <w:tc>
          <w:tcPr>
            <w:tcW w:w="704"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58"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30"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10:40～11:40</w:t>
            </w:r>
          </w:p>
        </w:tc>
        <w:tc>
          <w:tcPr>
            <w:tcW w:w="72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1.78</w:t>
            </w:r>
          </w:p>
        </w:tc>
        <w:tc>
          <w:tcPr>
            <w:tcW w:w="704"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58"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30"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09:14</w:t>
            </w:r>
          </w:p>
        </w:tc>
        <w:tc>
          <w:tcPr>
            <w:tcW w:w="72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1.81</w:t>
            </w:r>
          </w:p>
        </w:tc>
        <w:tc>
          <w:tcPr>
            <w:tcW w:w="704"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（任意一次浓度限值）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58"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30"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10:36</w:t>
            </w:r>
          </w:p>
        </w:tc>
        <w:tc>
          <w:tcPr>
            <w:tcW w:w="72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1.94</w:t>
            </w:r>
          </w:p>
        </w:tc>
        <w:tc>
          <w:tcPr>
            <w:tcW w:w="704"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58"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30"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11:50</w:t>
            </w:r>
          </w:p>
        </w:tc>
        <w:tc>
          <w:tcPr>
            <w:tcW w:w="72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1.90</w:t>
            </w:r>
          </w:p>
        </w:tc>
        <w:tc>
          <w:tcPr>
            <w:tcW w:w="704"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r>
              <w:rPr>
                <w:rFonts w:hint="default" w:ascii="Times New Roman" w:hAnsi="Times New Roman" w:cs="Times New Roman"/>
                <w:color w:val="auto"/>
                <w:sz w:val="21"/>
                <w:szCs w:val="21"/>
                <w:highlight w:val="none"/>
              </w:rPr>
              <w:t>5#</w:t>
            </w:r>
          </w:p>
        </w:tc>
        <w:tc>
          <w:tcPr>
            <w:tcW w:w="858"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厂房二车间外1m监测点</w:t>
            </w:r>
          </w:p>
        </w:tc>
        <w:tc>
          <w:tcPr>
            <w:tcW w:w="730"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08:10～09:10</w:t>
            </w:r>
          </w:p>
        </w:tc>
        <w:tc>
          <w:tcPr>
            <w:tcW w:w="726"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非甲烷总烃</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（以C计）</w:t>
            </w: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1.79</w:t>
            </w:r>
          </w:p>
        </w:tc>
        <w:tc>
          <w:tcPr>
            <w:tcW w:w="704"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（小时浓度限值）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58"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30"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09:24～10:24</w:t>
            </w:r>
          </w:p>
        </w:tc>
        <w:tc>
          <w:tcPr>
            <w:tcW w:w="72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1.76</w:t>
            </w:r>
          </w:p>
        </w:tc>
        <w:tc>
          <w:tcPr>
            <w:tcW w:w="704"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58"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30"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10:42～11:42</w:t>
            </w:r>
          </w:p>
        </w:tc>
        <w:tc>
          <w:tcPr>
            <w:tcW w:w="72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1.76</w:t>
            </w:r>
          </w:p>
        </w:tc>
        <w:tc>
          <w:tcPr>
            <w:tcW w:w="704"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58"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30"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09:18</w:t>
            </w:r>
          </w:p>
        </w:tc>
        <w:tc>
          <w:tcPr>
            <w:tcW w:w="726"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非甲烷总烃</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（以C计）</w:t>
            </w: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1.84</w:t>
            </w:r>
          </w:p>
        </w:tc>
        <w:tc>
          <w:tcPr>
            <w:tcW w:w="704"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（任意一次浓度限值）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58"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30"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10:38</w:t>
            </w:r>
          </w:p>
        </w:tc>
        <w:tc>
          <w:tcPr>
            <w:tcW w:w="72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1.87</w:t>
            </w:r>
          </w:p>
        </w:tc>
        <w:tc>
          <w:tcPr>
            <w:tcW w:w="704"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58"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30"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11:54</w:t>
            </w:r>
          </w:p>
        </w:tc>
        <w:tc>
          <w:tcPr>
            <w:tcW w:w="72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1.88</w:t>
            </w:r>
          </w:p>
        </w:tc>
        <w:tc>
          <w:tcPr>
            <w:tcW w:w="704"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r>
              <w:rPr>
                <w:rFonts w:hint="default" w:ascii="Times New Roman" w:hAnsi="Times New Roman" w:cs="Times New Roman"/>
                <w:color w:val="auto"/>
                <w:sz w:val="21"/>
                <w:szCs w:val="21"/>
                <w:highlight w:val="none"/>
              </w:rPr>
              <w:t>4#</w:t>
            </w:r>
          </w:p>
        </w:tc>
        <w:tc>
          <w:tcPr>
            <w:tcW w:w="858"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厂房一车间外1m监测点</w:t>
            </w:r>
          </w:p>
        </w:tc>
        <w:tc>
          <w:tcPr>
            <w:tcW w:w="730" w:type="pct"/>
            <w:vMerge w:val="restart"/>
            <w:tcBorders>
              <w:tl2br w:val="nil"/>
              <w:tr2bl w:val="nil"/>
            </w:tcBorders>
            <w:noWrap w:val="0"/>
            <w:vAlign w:val="center"/>
          </w:tcPr>
          <w:p>
            <w:pPr>
              <w:jc w:val="center"/>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color w:val="auto"/>
                <w:sz w:val="21"/>
                <w:szCs w:val="21"/>
                <w:highlight w:val="none"/>
                <w:lang w:eastAsia="zh-CN"/>
              </w:rPr>
              <w:t>2022-01-12</w:t>
            </w: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08:48～09:48</w:t>
            </w:r>
          </w:p>
        </w:tc>
        <w:tc>
          <w:tcPr>
            <w:tcW w:w="726"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非甲烷总烃</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（以C计）</w:t>
            </w: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1.71</w:t>
            </w:r>
          </w:p>
        </w:tc>
        <w:tc>
          <w:tcPr>
            <w:tcW w:w="704"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（小时浓度限值）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58"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30"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10:11～11:11</w:t>
            </w:r>
          </w:p>
        </w:tc>
        <w:tc>
          <w:tcPr>
            <w:tcW w:w="72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1.74</w:t>
            </w:r>
          </w:p>
        </w:tc>
        <w:tc>
          <w:tcPr>
            <w:tcW w:w="704"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58"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30"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11:32～12:32</w:t>
            </w:r>
          </w:p>
        </w:tc>
        <w:tc>
          <w:tcPr>
            <w:tcW w:w="72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1.75</w:t>
            </w:r>
          </w:p>
        </w:tc>
        <w:tc>
          <w:tcPr>
            <w:tcW w:w="704"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58"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30"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10:03</w:t>
            </w:r>
          </w:p>
        </w:tc>
        <w:tc>
          <w:tcPr>
            <w:tcW w:w="72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1.82</w:t>
            </w:r>
          </w:p>
        </w:tc>
        <w:tc>
          <w:tcPr>
            <w:tcW w:w="704"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（任意一次浓度限值）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58"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30"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11:20</w:t>
            </w:r>
          </w:p>
        </w:tc>
        <w:tc>
          <w:tcPr>
            <w:tcW w:w="72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1.79</w:t>
            </w:r>
          </w:p>
        </w:tc>
        <w:tc>
          <w:tcPr>
            <w:tcW w:w="704"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58"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30"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12:46</w:t>
            </w:r>
          </w:p>
        </w:tc>
        <w:tc>
          <w:tcPr>
            <w:tcW w:w="72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1.86</w:t>
            </w:r>
          </w:p>
        </w:tc>
        <w:tc>
          <w:tcPr>
            <w:tcW w:w="704"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restar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宋体" w:hAnsi="宋体" w:eastAsia="宋体" w:cs="宋体"/>
                <w:color w:val="auto"/>
                <w:sz w:val="21"/>
                <w:szCs w:val="21"/>
                <w:highlight w:val="none"/>
              </w:rPr>
              <w:t>○</w:t>
            </w:r>
            <w:r>
              <w:rPr>
                <w:rFonts w:hint="default" w:ascii="Times New Roman" w:hAnsi="Times New Roman" w:cs="Times New Roman"/>
                <w:color w:val="auto"/>
                <w:sz w:val="21"/>
                <w:szCs w:val="21"/>
                <w:highlight w:val="none"/>
              </w:rPr>
              <w:t>5#</w:t>
            </w:r>
          </w:p>
        </w:tc>
        <w:tc>
          <w:tcPr>
            <w:tcW w:w="858"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厂房二车间外1m监测点</w:t>
            </w:r>
          </w:p>
        </w:tc>
        <w:tc>
          <w:tcPr>
            <w:tcW w:w="730"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08:53～09:53</w:t>
            </w:r>
          </w:p>
        </w:tc>
        <w:tc>
          <w:tcPr>
            <w:tcW w:w="726"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非甲烷总烃</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（以C计）</w:t>
            </w: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1.62</w:t>
            </w:r>
          </w:p>
        </w:tc>
        <w:tc>
          <w:tcPr>
            <w:tcW w:w="704"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（小时浓度限值）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58"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30"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10:15～11:15</w:t>
            </w:r>
          </w:p>
        </w:tc>
        <w:tc>
          <w:tcPr>
            <w:tcW w:w="72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1.69</w:t>
            </w:r>
          </w:p>
        </w:tc>
        <w:tc>
          <w:tcPr>
            <w:tcW w:w="704"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58"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30"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11:35～12:35</w:t>
            </w:r>
          </w:p>
        </w:tc>
        <w:tc>
          <w:tcPr>
            <w:tcW w:w="72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1.72</w:t>
            </w:r>
          </w:p>
        </w:tc>
        <w:tc>
          <w:tcPr>
            <w:tcW w:w="704"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58"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30"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10:08</w:t>
            </w:r>
          </w:p>
        </w:tc>
        <w:tc>
          <w:tcPr>
            <w:tcW w:w="72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1.84</w:t>
            </w:r>
          </w:p>
        </w:tc>
        <w:tc>
          <w:tcPr>
            <w:tcW w:w="704"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（任意一次浓度限值）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58"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30"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11:26</w:t>
            </w:r>
          </w:p>
        </w:tc>
        <w:tc>
          <w:tcPr>
            <w:tcW w:w="72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1.75</w:t>
            </w:r>
          </w:p>
        </w:tc>
        <w:tc>
          <w:tcPr>
            <w:tcW w:w="704"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9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58"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30"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893"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12:50</w:t>
            </w:r>
          </w:p>
        </w:tc>
        <w:tc>
          <w:tcPr>
            <w:tcW w:w="726"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689"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1.77</w:t>
            </w:r>
          </w:p>
        </w:tc>
        <w:tc>
          <w:tcPr>
            <w:tcW w:w="704"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r>
    </w:tbl>
    <w:p>
      <w:pPr>
        <w:widowControl/>
        <w:jc w:val="center"/>
        <w:rPr>
          <w:rFonts w:ascii="Times New Roman" w:hAnsi="Times New Roman" w:cs="Times New Roman"/>
          <w:b/>
          <w:bCs/>
          <w:color w:val="auto"/>
          <w:sz w:val="24"/>
          <w:szCs w:val="24"/>
          <w:highlight w:val="none"/>
        </w:rPr>
      </w:pPr>
      <w:r>
        <w:rPr>
          <w:rFonts w:ascii="Times New Roman" w:hAnsi="Times New Roman" w:cs="Times New Roman"/>
          <w:b/>
          <w:bCs/>
          <w:color w:val="auto"/>
          <w:sz w:val="24"/>
          <w:szCs w:val="24"/>
          <w:highlight w:val="none"/>
        </w:rPr>
        <w:t xml:space="preserve"> </w:t>
      </w:r>
    </w:p>
    <w:p>
      <w:pPr>
        <w:widowControl/>
        <w:jc w:val="center"/>
        <w:rPr>
          <w:rFonts w:ascii="Times New Roman" w:hAnsi="Times New Roman" w:cs="Times New Roman"/>
          <w:b/>
          <w:bCs/>
          <w:color w:val="auto"/>
          <w:sz w:val="24"/>
          <w:szCs w:val="24"/>
          <w:highlight w:val="none"/>
        </w:rPr>
      </w:pPr>
    </w:p>
    <w:p>
      <w:pPr>
        <w:widowControl/>
        <w:jc w:val="center"/>
        <w:rPr>
          <w:rFonts w:ascii="Times New Roman" w:hAnsi="Times New Roman" w:cs="Times New Roman"/>
          <w:color w:val="auto"/>
          <w:sz w:val="24"/>
          <w:szCs w:val="24"/>
          <w:highlight w:val="none"/>
        </w:rPr>
      </w:pPr>
      <w:r>
        <w:rPr>
          <w:rFonts w:ascii="Times New Roman" w:hAnsi="Times New Roman" w:cs="Times New Roman"/>
          <w:b/>
          <w:bCs/>
          <w:color w:val="auto"/>
          <w:sz w:val="24"/>
          <w:szCs w:val="24"/>
          <w:highlight w:val="none"/>
        </w:rPr>
        <w:t>表9-</w:t>
      </w:r>
      <w:r>
        <w:rPr>
          <w:rFonts w:hint="eastAsia" w:ascii="Times New Roman" w:hAnsi="Times New Roman" w:cs="Times New Roman"/>
          <w:b/>
          <w:bCs/>
          <w:color w:val="auto"/>
          <w:sz w:val="24"/>
          <w:szCs w:val="24"/>
          <w:highlight w:val="none"/>
          <w:lang w:val="en-US" w:eastAsia="zh-CN"/>
        </w:rPr>
        <w:t>5</w:t>
      </w:r>
      <w:r>
        <w:rPr>
          <w:rFonts w:hint="eastAsia" w:ascii="Times New Roman" w:hAnsi="Times New Roman" w:cs="Times New Roman"/>
          <w:b/>
          <w:bCs/>
          <w:color w:val="auto"/>
          <w:sz w:val="24"/>
          <w:szCs w:val="24"/>
          <w:highlight w:val="none"/>
        </w:rPr>
        <w:t>无</w:t>
      </w:r>
      <w:r>
        <w:rPr>
          <w:rFonts w:ascii="Times New Roman" w:hAnsi="Times New Roman" w:cs="Times New Roman"/>
          <w:b/>
          <w:bCs/>
          <w:color w:val="auto"/>
          <w:sz w:val="24"/>
          <w:szCs w:val="24"/>
          <w:highlight w:val="none"/>
        </w:rPr>
        <w:t>组织废气监测结果</w:t>
      </w:r>
    </w:p>
    <w:tbl>
      <w:tblPr>
        <w:tblStyle w:val="23"/>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72"/>
        <w:gridCol w:w="1552"/>
        <w:gridCol w:w="1196"/>
        <w:gridCol w:w="959"/>
        <w:gridCol w:w="1377"/>
        <w:gridCol w:w="1377"/>
        <w:gridCol w:w="138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blHeader/>
        </w:trPr>
        <w:tc>
          <w:tcPr>
            <w:tcW w:w="395" w:type="pct"/>
            <w:vMerge w:val="restart"/>
            <w:tcBorders>
              <w:tl2br w:val="nil"/>
              <w:tr2bl w:val="nil"/>
            </w:tcBorders>
            <w:noWrap w:val="0"/>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检测点号</w:t>
            </w:r>
          </w:p>
        </w:tc>
        <w:tc>
          <w:tcPr>
            <w:tcW w:w="911" w:type="pct"/>
            <w:vMerge w:val="restart"/>
            <w:tcBorders>
              <w:tl2br w:val="nil"/>
              <w:tr2bl w:val="nil"/>
            </w:tcBorders>
            <w:noWrap w:val="0"/>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检测点位</w:t>
            </w:r>
          </w:p>
        </w:tc>
        <w:tc>
          <w:tcPr>
            <w:tcW w:w="1264" w:type="pct"/>
            <w:gridSpan w:val="2"/>
            <w:vMerge w:val="restart"/>
            <w:tcBorders>
              <w:tl2br w:val="nil"/>
              <w:tr2bl w:val="nil"/>
            </w:tcBorders>
            <w:noWrap w:val="0"/>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采样日期</w:t>
            </w:r>
          </w:p>
        </w:tc>
        <w:tc>
          <w:tcPr>
            <w:tcW w:w="2428" w:type="pct"/>
            <w:gridSpan w:val="3"/>
            <w:tcBorders>
              <w:tl2br w:val="nil"/>
              <w:tr2bl w:val="nil"/>
            </w:tcBorders>
            <w:noWrap w:val="0"/>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检测结果mg/m</w:t>
            </w:r>
            <w:r>
              <w:rPr>
                <w:rFonts w:hint="default" w:ascii="Times New Roman" w:hAnsi="Times New Roman" w:cs="Times New Roman"/>
                <w:b/>
                <w:color w:val="auto"/>
                <w:sz w:val="21"/>
                <w:szCs w:val="21"/>
                <w:highlight w:val="none"/>
                <w:vertAlign w:val="superscript"/>
              </w:rPr>
              <w:t>3</w:t>
            </w:r>
            <w:r>
              <w:rPr>
                <w:rFonts w:hint="default" w:ascii="Times New Roman" w:hAnsi="Times New Roman" w:cs="Times New Roman"/>
                <w:b/>
                <w:color w:val="auto"/>
                <w:sz w:val="21"/>
                <w:szCs w:val="21"/>
                <w:highlight w:val="none"/>
              </w:rPr>
              <w:t>（</w:t>
            </w:r>
            <w:r>
              <w:rPr>
                <w:rFonts w:hint="default" w:ascii="Times New Roman" w:hAnsi="Times New Roman" w:cs="Times New Roman"/>
                <w:b/>
                <w:bCs/>
                <w:color w:val="auto"/>
                <w:sz w:val="21"/>
                <w:szCs w:val="21"/>
                <w:highlight w:val="none"/>
              </w:rPr>
              <w:t xml:space="preserve">氟化物 </w:t>
            </w:r>
            <w:r>
              <w:rPr>
                <w:rFonts w:hint="default" w:ascii="Times New Roman" w:hAnsi="Times New Roman" w:cs="Times New Roman"/>
                <w:b/>
                <w:color w:val="auto"/>
                <w:sz w:val="21"/>
                <w:szCs w:val="21"/>
                <w:highlight w:val="none"/>
              </w:rPr>
              <w:t>μg/m</w:t>
            </w:r>
            <w:r>
              <w:rPr>
                <w:rFonts w:hint="default" w:ascii="Times New Roman" w:hAnsi="Times New Roman" w:cs="Times New Roman"/>
                <w:b/>
                <w:color w:val="auto"/>
                <w:sz w:val="21"/>
                <w:szCs w:val="21"/>
                <w:highlight w:val="none"/>
                <w:vertAlign w:val="superscript"/>
              </w:rPr>
              <w:t>3</w:t>
            </w:r>
            <w:r>
              <w:rPr>
                <w:rFonts w:hint="default" w:ascii="Times New Roman" w:hAnsi="Times New Roman" w:cs="Times New Roman"/>
                <w:b/>
                <w:color w:val="auto"/>
                <w:sz w:val="21"/>
                <w:szCs w:val="21"/>
                <w:highlight w:val="no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blHeader/>
        </w:trPr>
        <w:tc>
          <w:tcPr>
            <w:tcW w:w="395" w:type="pct"/>
            <w:vMerge w:val="continue"/>
            <w:tcBorders>
              <w:tl2br w:val="nil"/>
              <w:tr2bl w:val="nil"/>
            </w:tcBorders>
            <w:noWrap w:val="0"/>
            <w:vAlign w:val="center"/>
          </w:tcPr>
          <w:p>
            <w:pPr>
              <w:jc w:val="center"/>
              <w:rPr>
                <w:rFonts w:hint="default" w:ascii="Times New Roman" w:hAnsi="Times New Roman" w:cs="Times New Roman"/>
                <w:b/>
                <w:color w:val="auto"/>
                <w:sz w:val="21"/>
                <w:szCs w:val="21"/>
                <w:highlight w:val="none"/>
              </w:rPr>
            </w:pPr>
          </w:p>
        </w:tc>
        <w:tc>
          <w:tcPr>
            <w:tcW w:w="911" w:type="pct"/>
            <w:vMerge w:val="continue"/>
            <w:tcBorders>
              <w:tl2br w:val="nil"/>
              <w:tr2bl w:val="nil"/>
            </w:tcBorders>
            <w:noWrap w:val="0"/>
            <w:vAlign w:val="center"/>
          </w:tcPr>
          <w:p>
            <w:pPr>
              <w:jc w:val="center"/>
              <w:rPr>
                <w:rFonts w:hint="default" w:ascii="Times New Roman" w:hAnsi="Times New Roman" w:cs="Times New Roman"/>
                <w:b/>
                <w:color w:val="auto"/>
                <w:sz w:val="21"/>
                <w:szCs w:val="21"/>
                <w:highlight w:val="none"/>
              </w:rPr>
            </w:pPr>
          </w:p>
        </w:tc>
        <w:tc>
          <w:tcPr>
            <w:tcW w:w="1264" w:type="pct"/>
            <w:gridSpan w:val="2"/>
            <w:vMerge w:val="continue"/>
            <w:tcBorders>
              <w:tl2br w:val="nil"/>
              <w:tr2bl w:val="nil"/>
            </w:tcBorders>
            <w:noWrap w:val="0"/>
            <w:vAlign w:val="center"/>
          </w:tcPr>
          <w:p>
            <w:pPr>
              <w:jc w:val="center"/>
              <w:rPr>
                <w:rFonts w:hint="default" w:ascii="Times New Roman" w:hAnsi="Times New Roman" w:cs="Times New Roman"/>
                <w:b/>
                <w:color w:val="auto"/>
                <w:sz w:val="21"/>
                <w:szCs w:val="21"/>
                <w:highlight w:val="none"/>
              </w:rPr>
            </w:pPr>
          </w:p>
        </w:tc>
        <w:tc>
          <w:tcPr>
            <w:tcW w:w="808" w:type="pct"/>
            <w:tcBorders>
              <w:tl2br w:val="nil"/>
              <w:tr2bl w:val="nil"/>
            </w:tcBorders>
            <w:noWrap w:val="0"/>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非甲烷总烃</w:t>
            </w:r>
          </w:p>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（以C计）</w:t>
            </w:r>
          </w:p>
        </w:tc>
        <w:tc>
          <w:tcPr>
            <w:tcW w:w="808" w:type="pct"/>
            <w:tcBorders>
              <w:tl2br w:val="nil"/>
              <w:tr2bl w:val="nil"/>
            </w:tcBorders>
            <w:noWrap w:val="0"/>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bCs/>
                <w:color w:val="auto"/>
                <w:sz w:val="21"/>
                <w:szCs w:val="21"/>
                <w:highlight w:val="none"/>
              </w:rPr>
              <w:t>氟化物</w:t>
            </w:r>
          </w:p>
        </w:tc>
        <w:tc>
          <w:tcPr>
            <w:tcW w:w="812" w:type="pct"/>
            <w:tcBorders>
              <w:tl2br w:val="nil"/>
              <w:tr2bl w:val="nil"/>
            </w:tcBorders>
            <w:noWrap w:val="0"/>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bCs/>
                <w:color w:val="auto"/>
                <w:sz w:val="21"/>
                <w:szCs w:val="21"/>
                <w:highlight w:val="none"/>
              </w:rPr>
              <w:t>总悬浮颗粒物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95"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r>
              <w:rPr>
                <w:rFonts w:hint="default" w:ascii="Times New Roman" w:hAnsi="Times New Roman" w:cs="Times New Roman"/>
                <w:color w:val="auto"/>
                <w:sz w:val="21"/>
                <w:szCs w:val="21"/>
                <w:highlight w:val="none"/>
              </w:rPr>
              <w:t>6#</w:t>
            </w:r>
          </w:p>
        </w:tc>
        <w:tc>
          <w:tcPr>
            <w:tcW w:w="911"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厂界上风向</w:t>
            </w:r>
          </w:p>
        </w:tc>
        <w:tc>
          <w:tcPr>
            <w:tcW w:w="702" w:type="pct"/>
            <w:vMerge w:val="restart"/>
            <w:tcBorders>
              <w:tl2br w:val="nil"/>
              <w:tr2bl w:val="nil"/>
            </w:tcBorders>
            <w:noWrap w:val="0"/>
            <w:vAlign w:val="center"/>
          </w:tcPr>
          <w:p>
            <w:pPr>
              <w:jc w:val="center"/>
              <w:rPr>
                <w:rFonts w:hint="eastAsia" w:ascii="Times New Roman" w:hAnsi="Times New Roman" w:cs="Times New Roman" w:eastAsiaTheme="minorEastAsia"/>
                <w:color w:val="auto"/>
                <w:sz w:val="21"/>
                <w:szCs w:val="21"/>
                <w:highlight w:val="none"/>
                <w:lang w:eastAsia="zh-CN"/>
              </w:rPr>
            </w:pPr>
            <w:r>
              <w:rPr>
                <w:rFonts w:hint="eastAsia" w:ascii="Times New Roman" w:hAnsi="Times New Roman" w:cs="Times New Roman"/>
                <w:color w:val="auto"/>
                <w:sz w:val="21"/>
                <w:szCs w:val="21"/>
                <w:highlight w:val="none"/>
                <w:lang w:eastAsia="zh-CN"/>
              </w:rPr>
              <w:t>2022-01-11</w:t>
            </w:r>
          </w:p>
        </w:tc>
        <w:tc>
          <w:tcPr>
            <w:tcW w:w="561"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第一次</w:t>
            </w:r>
          </w:p>
        </w:tc>
        <w:tc>
          <w:tcPr>
            <w:tcW w:w="808"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1.49</w:t>
            </w:r>
          </w:p>
        </w:tc>
        <w:tc>
          <w:tcPr>
            <w:tcW w:w="808"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812"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0.206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95"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911"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02"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561"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第二次</w:t>
            </w:r>
          </w:p>
        </w:tc>
        <w:tc>
          <w:tcPr>
            <w:tcW w:w="808"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1.51</w:t>
            </w:r>
          </w:p>
        </w:tc>
        <w:tc>
          <w:tcPr>
            <w:tcW w:w="808"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812"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0.198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95"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911"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02"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561"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第三次</w:t>
            </w:r>
          </w:p>
        </w:tc>
        <w:tc>
          <w:tcPr>
            <w:tcW w:w="808"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1.50</w:t>
            </w:r>
          </w:p>
        </w:tc>
        <w:tc>
          <w:tcPr>
            <w:tcW w:w="808"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812"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0.183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95"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r>
              <w:rPr>
                <w:rFonts w:hint="default" w:ascii="Times New Roman" w:hAnsi="Times New Roman" w:cs="Times New Roman"/>
                <w:color w:val="auto"/>
                <w:sz w:val="21"/>
                <w:szCs w:val="21"/>
                <w:highlight w:val="none"/>
              </w:rPr>
              <w:t>7#</w:t>
            </w:r>
          </w:p>
        </w:tc>
        <w:tc>
          <w:tcPr>
            <w:tcW w:w="911"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厂界下风向</w:t>
            </w:r>
          </w:p>
        </w:tc>
        <w:tc>
          <w:tcPr>
            <w:tcW w:w="702"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561"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第一次</w:t>
            </w:r>
          </w:p>
        </w:tc>
        <w:tc>
          <w:tcPr>
            <w:tcW w:w="808"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1.71</w:t>
            </w:r>
          </w:p>
        </w:tc>
        <w:tc>
          <w:tcPr>
            <w:tcW w:w="808"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812"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0.223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95"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911"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02"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561"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第二次</w:t>
            </w:r>
          </w:p>
        </w:tc>
        <w:tc>
          <w:tcPr>
            <w:tcW w:w="808"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1.70</w:t>
            </w:r>
          </w:p>
        </w:tc>
        <w:tc>
          <w:tcPr>
            <w:tcW w:w="808"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812"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0.207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95"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911"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02"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561"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第三次</w:t>
            </w:r>
          </w:p>
        </w:tc>
        <w:tc>
          <w:tcPr>
            <w:tcW w:w="808"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1.67</w:t>
            </w:r>
          </w:p>
        </w:tc>
        <w:tc>
          <w:tcPr>
            <w:tcW w:w="808"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812"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0.200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95"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r>
              <w:rPr>
                <w:rFonts w:hint="default" w:ascii="Times New Roman" w:hAnsi="Times New Roman" w:cs="Times New Roman"/>
                <w:color w:val="auto"/>
                <w:sz w:val="21"/>
                <w:szCs w:val="21"/>
                <w:highlight w:val="none"/>
              </w:rPr>
              <w:t>6#</w:t>
            </w:r>
          </w:p>
        </w:tc>
        <w:tc>
          <w:tcPr>
            <w:tcW w:w="911"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厂界上风向</w:t>
            </w:r>
          </w:p>
        </w:tc>
        <w:tc>
          <w:tcPr>
            <w:tcW w:w="702" w:type="pct"/>
            <w:vMerge w:val="restart"/>
            <w:tcBorders>
              <w:tl2br w:val="nil"/>
              <w:tr2bl w:val="nil"/>
            </w:tcBorders>
            <w:noWrap w:val="0"/>
            <w:vAlign w:val="center"/>
          </w:tcPr>
          <w:p>
            <w:pPr>
              <w:jc w:val="center"/>
              <w:rPr>
                <w:rFonts w:hint="eastAsia" w:ascii="Times New Roman" w:hAnsi="Times New Roman" w:cs="Times New Roman" w:eastAsiaTheme="minorEastAsia"/>
                <w:color w:val="auto"/>
                <w:sz w:val="21"/>
                <w:szCs w:val="21"/>
                <w:highlight w:val="none"/>
                <w:lang w:eastAsia="zh-CN"/>
              </w:rPr>
            </w:pPr>
            <w:r>
              <w:rPr>
                <w:rFonts w:hint="eastAsia" w:ascii="Times New Roman" w:hAnsi="Times New Roman" w:cs="Times New Roman"/>
                <w:color w:val="auto"/>
                <w:sz w:val="21"/>
                <w:szCs w:val="21"/>
                <w:highlight w:val="none"/>
                <w:lang w:eastAsia="zh-CN"/>
              </w:rPr>
              <w:t>2022-01-12</w:t>
            </w:r>
          </w:p>
        </w:tc>
        <w:tc>
          <w:tcPr>
            <w:tcW w:w="561"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第一次</w:t>
            </w:r>
          </w:p>
        </w:tc>
        <w:tc>
          <w:tcPr>
            <w:tcW w:w="808"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1.54</w:t>
            </w:r>
          </w:p>
        </w:tc>
        <w:tc>
          <w:tcPr>
            <w:tcW w:w="808"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812"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0.184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95"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911"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02"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561"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第二次</w:t>
            </w:r>
          </w:p>
        </w:tc>
        <w:tc>
          <w:tcPr>
            <w:tcW w:w="808"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1.57</w:t>
            </w:r>
          </w:p>
        </w:tc>
        <w:tc>
          <w:tcPr>
            <w:tcW w:w="808"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812"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0.177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95"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911"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02"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561"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第三次</w:t>
            </w:r>
          </w:p>
        </w:tc>
        <w:tc>
          <w:tcPr>
            <w:tcW w:w="808"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1.59</w:t>
            </w:r>
          </w:p>
        </w:tc>
        <w:tc>
          <w:tcPr>
            <w:tcW w:w="808"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812"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0.211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95"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r>
              <w:rPr>
                <w:rFonts w:hint="default" w:ascii="Times New Roman" w:hAnsi="Times New Roman" w:cs="Times New Roman"/>
                <w:color w:val="auto"/>
                <w:sz w:val="21"/>
                <w:szCs w:val="21"/>
                <w:highlight w:val="none"/>
              </w:rPr>
              <w:t>7#</w:t>
            </w:r>
          </w:p>
        </w:tc>
        <w:tc>
          <w:tcPr>
            <w:tcW w:w="911" w:type="pct"/>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厂界下风向</w:t>
            </w:r>
          </w:p>
        </w:tc>
        <w:tc>
          <w:tcPr>
            <w:tcW w:w="702"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561"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第一次</w:t>
            </w:r>
          </w:p>
        </w:tc>
        <w:tc>
          <w:tcPr>
            <w:tcW w:w="808"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1.73</w:t>
            </w:r>
          </w:p>
        </w:tc>
        <w:tc>
          <w:tcPr>
            <w:tcW w:w="808"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812"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0.209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95"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911"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02"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561"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第二次</w:t>
            </w:r>
          </w:p>
        </w:tc>
        <w:tc>
          <w:tcPr>
            <w:tcW w:w="808"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1.73</w:t>
            </w:r>
          </w:p>
        </w:tc>
        <w:tc>
          <w:tcPr>
            <w:tcW w:w="808"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812"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0.202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95"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911"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702" w:type="pct"/>
            <w:vMerge w:val="continue"/>
            <w:tcBorders>
              <w:tl2br w:val="nil"/>
              <w:tr2bl w:val="nil"/>
            </w:tcBorders>
            <w:noWrap w:val="0"/>
            <w:vAlign w:val="center"/>
          </w:tcPr>
          <w:p>
            <w:pPr>
              <w:jc w:val="center"/>
              <w:rPr>
                <w:rFonts w:hint="default" w:ascii="Times New Roman" w:hAnsi="Times New Roman" w:cs="Times New Roman"/>
                <w:color w:val="auto"/>
                <w:sz w:val="21"/>
                <w:szCs w:val="21"/>
                <w:highlight w:val="none"/>
              </w:rPr>
            </w:pPr>
          </w:p>
        </w:tc>
        <w:tc>
          <w:tcPr>
            <w:tcW w:w="561"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第三次</w:t>
            </w:r>
          </w:p>
        </w:tc>
        <w:tc>
          <w:tcPr>
            <w:tcW w:w="808"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1.71</w:t>
            </w:r>
          </w:p>
        </w:tc>
        <w:tc>
          <w:tcPr>
            <w:tcW w:w="808"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812" w:type="pct"/>
            <w:tcBorders>
              <w:tl2br w:val="nil"/>
              <w:tr2bl w:val="nil"/>
            </w:tcBorders>
            <w:noWrap w:val="0"/>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0.194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2571" w:type="pct"/>
            <w:gridSpan w:val="4"/>
            <w:tcBorders>
              <w:tl2br w:val="nil"/>
              <w:tr2bl w:val="nil"/>
            </w:tcBorders>
            <w:noWrap w:val="0"/>
            <w:vAlign w:val="center"/>
          </w:tcPr>
          <w:p>
            <w:pPr>
              <w:jc w:val="center"/>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color w:val="auto"/>
                <w:sz w:val="21"/>
                <w:szCs w:val="21"/>
                <w:highlight w:val="none"/>
                <w:lang w:eastAsia="zh-CN"/>
              </w:rPr>
              <w:t>监测期间最大值</w:t>
            </w:r>
          </w:p>
        </w:tc>
        <w:tc>
          <w:tcPr>
            <w:tcW w:w="808"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max(E3:E14)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1.</w:t>
            </w:r>
            <w:r>
              <w:rPr>
                <w:rFonts w:hint="default" w:ascii="Times New Roman" w:hAnsi="Times New Roman" w:cs="Times New Roman"/>
                <w:color w:val="auto"/>
                <w:sz w:val="21"/>
                <w:szCs w:val="21"/>
                <w:highlight w:val="none"/>
                <w:lang w:val="en-US" w:eastAsia="zh-CN"/>
              </w:rPr>
              <w:t>7</w:t>
            </w:r>
            <w:r>
              <w:rPr>
                <w:rFonts w:hint="default" w:ascii="Times New Roman" w:hAnsi="Times New Roman" w:cs="Times New Roman"/>
                <w:color w:val="auto"/>
                <w:sz w:val="21"/>
                <w:szCs w:val="21"/>
                <w:highlight w:val="none"/>
              </w:rPr>
              <w:t>3</w:t>
            </w:r>
            <w:r>
              <w:rPr>
                <w:rFonts w:hint="default" w:ascii="Times New Roman" w:hAnsi="Times New Roman" w:cs="Times New Roman"/>
                <w:color w:val="auto"/>
                <w:sz w:val="21"/>
                <w:szCs w:val="21"/>
                <w:highlight w:val="none"/>
              </w:rPr>
              <w:fldChar w:fldCharType="end"/>
            </w:r>
          </w:p>
        </w:tc>
        <w:tc>
          <w:tcPr>
            <w:tcW w:w="808"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812"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Cs w:val="21"/>
                <w:highlight w:val="none"/>
              </w:rPr>
              <w:fldChar w:fldCharType="begin"/>
            </w:r>
            <w:r>
              <w:rPr>
                <w:rFonts w:hint="default" w:ascii="Times New Roman" w:hAnsi="Times New Roman" w:cs="Times New Roman"/>
                <w:color w:val="auto"/>
                <w:szCs w:val="21"/>
                <w:highlight w:val="none"/>
              </w:rPr>
              <w:instrText xml:space="preserve"> = max(G3:G14) \* MERGEFORMAT </w:instrText>
            </w:r>
            <w:r>
              <w:rPr>
                <w:rFonts w:hint="default" w:ascii="Times New Roman" w:hAnsi="Times New Roman" w:cs="Times New Roman"/>
                <w:color w:val="auto"/>
                <w:szCs w:val="21"/>
                <w:highlight w:val="none"/>
              </w:rPr>
              <w:fldChar w:fldCharType="separate"/>
            </w:r>
            <w:r>
              <w:rPr>
                <w:rFonts w:hint="default" w:ascii="Times New Roman" w:hAnsi="Times New Roman" w:cs="Times New Roman"/>
                <w:color w:val="auto"/>
                <w:szCs w:val="21"/>
                <w:highlight w:val="none"/>
              </w:rPr>
              <w:t>0.223</w:t>
            </w:r>
            <w:r>
              <w:rPr>
                <w:rFonts w:hint="default" w:ascii="Times New Roman" w:hAnsi="Times New Roman" w:cs="Times New Roman"/>
                <w:color w:val="auto"/>
                <w:szCs w:val="21"/>
                <w:highlight w:val="none"/>
              </w:rPr>
              <w:fldChar w:fldCharType="end"/>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2571" w:type="pct"/>
            <w:gridSpan w:val="4"/>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标准限值</w:t>
            </w:r>
          </w:p>
        </w:tc>
        <w:tc>
          <w:tcPr>
            <w:tcW w:w="808"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808"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812"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r>
    </w:tbl>
    <w:p>
      <w:pPr>
        <w:widowControl/>
        <w:spacing w:line="360" w:lineRule="auto"/>
        <w:jc w:val="center"/>
        <w:rPr>
          <w:rFonts w:ascii="Times New Roman" w:hAnsi="Times New Roman" w:cs="Times New Roman"/>
          <w:b/>
          <w:bCs/>
          <w:color w:val="auto"/>
          <w:sz w:val="24"/>
          <w:szCs w:val="24"/>
          <w:highlight w:val="none"/>
        </w:rPr>
      </w:pPr>
    </w:p>
    <w:p>
      <w:pPr>
        <w:widowControl/>
        <w:spacing w:line="360" w:lineRule="auto"/>
        <w:jc w:val="center"/>
        <w:rPr>
          <w:rFonts w:hint="eastAsia" w:ascii="Times New Roman" w:hAnsi="Times New Roman" w:cs="Times New Roman"/>
          <w:b/>
          <w:bCs/>
          <w:color w:val="auto"/>
          <w:sz w:val="24"/>
          <w:szCs w:val="24"/>
          <w:highlight w:val="none"/>
          <w:lang w:val="en-US" w:eastAsia="zh-CN"/>
        </w:rPr>
      </w:pPr>
      <w:r>
        <w:rPr>
          <w:rFonts w:ascii="Times New Roman" w:hAnsi="Times New Roman" w:cs="Times New Roman"/>
          <w:b/>
          <w:bCs/>
          <w:color w:val="auto"/>
          <w:sz w:val="24"/>
          <w:szCs w:val="24"/>
          <w:highlight w:val="none"/>
        </w:rPr>
        <w:t>表9-</w:t>
      </w:r>
      <w:r>
        <w:rPr>
          <w:rFonts w:hint="eastAsia" w:ascii="Times New Roman" w:hAnsi="Times New Roman" w:cs="Times New Roman"/>
          <w:b/>
          <w:bCs/>
          <w:color w:val="auto"/>
          <w:sz w:val="24"/>
          <w:szCs w:val="24"/>
          <w:highlight w:val="none"/>
          <w:lang w:val="en-US" w:eastAsia="zh-CN"/>
        </w:rPr>
        <w:t>6</w:t>
      </w:r>
      <w:r>
        <w:rPr>
          <w:rFonts w:ascii="Times New Roman" w:hAnsi="Times New Roman" w:cs="Times New Roman"/>
          <w:b/>
          <w:bCs/>
          <w:color w:val="auto"/>
          <w:sz w:val="24"/>
          <w:szCs w:val="24"/>
          <w:highlight w:val="none"/>
        </w:rPr>
        <w:t xml:space="preserve"> </w:t>
      </w:r>
      <w:r>
        <w:rPr>
          <w:rFonts w:hint="eastAsia" w:ascii="Times New Roman" w:hAnsi="Times New Roman" w:cs="Times New Roman"/>
          <w:b/>
          <w:bCs/>
          <w:color w:val="auto"/>
          <w:sz w:val="24"/>
          <w:szCs w:val="24"/>
          <w:highlight w:val="none"/>
          <w:lang w:val="en-US" w:eastAsia="zh-CN"/>
        </w:rPr>
        <w:t>气象参数表</w:t>
      </w:r>
    </w:p>
    <w:tbl>
      <w:tblPr>
        <w:tblStyle w:val="2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3"/>
        <w:gridCol w:w="1102"/>
        <w:gridCol w:w="1219"/>
        <w:gridCol w:w="1221"/>
        <w:gridCol w:w="1219"/>
        <w:gridCol w:w="1221"/>
        <w:gridCol w:w="12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765" w:type="pct"/>
            <w:vMerge w:val="restart"/>
            <w:tcBorders>
              <w:tl2br w:val="nil"/>
              <w:tr2bl w:val="nil"/>
            </w:tcBorders>
            <w:shd w:val="clear" w:color="auto" w:fill="auto"/>
            <w:noWrap w:val="0"/>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日期</w:t>
            </w:r>
          </w:p>
        </w:tc>
        <w:tc>
          <w:tcPr>
            <w:tcW w:w="647" w:type="pct"/>
            <w:vMerge w:val="restart"/>
            <w:tcBorders>
              <w:tl2br w:val="nil"/>
              <w:tr2bl w:val="nil"/>
            </w:tcBorders>
            <w:shd w:val="clear" w:color="auto" w:fill="auto"/>
            <w:noWrap w:val="0"/>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时间</w:t>
            </w:r>
          </w:p>
        </w:tc>
        <w:tc>
          <w:tcPr>
            <w:tcW w:w="3587" w:type="pct"/>
            <w:gridSpan w:val="5"/>
            <w:tcBorders>
              <w:tl2br w:val="nil"/>
              <w:tr2bl w:val="nil"/>
            </w:tcBorders>
            <w:shd w:val="clear" w:color="auto" w:fill="auto"/>
            <w:noWrap w:val="0"/>
            <w:vAlign w:val="center"/>
          </w:tcPr>
          <w:p>
            <w:pPr>
              <w:jc w:val="center"/>
              <w:rPr>
                <w:rFonts w:hint="default" w:ascii="Times New Roman" w:hAnsi="Times New Roman" w:cs="Times New Roman"/>
                <w:b/>
                <w:iCs/>
                <w:color w:val="auto"/>
                <w:szCs w:val="21"/>
                <w:highlight w:val="none"/>
              </w:rPr>
            </w:pPr>
            <w:r>
              <w:rPr>
                <w:rFonts w:hint="default" w:ascii="Times New Roman" w:hAnsi="Times New Roman" w:cs="Times New Roman"/>
                <w:b/>
                <w:iCs/>
                <w:color w:val="auto"/>
                <w:szCs w:val="21"/>
                <w:highlight w:val="none"/>
              </w:rPr>
              <w:t>气象参数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765" w:type="pct"/>
            <w:vMerge w:val="continue"/>
            <w:tcBorders>
              <w:tl2br w:val="nil"/>
              <w:tr2bl w:val="nil"/>
            </w:tcBorders>
            <w:shd w:val="clear" w:color="auto" w:fill="auto"/>
            <w:noWrap w:val="0"/>
            <w:vAlign w:val="center"/>
          </w:tcPr>
          <w:p>
            <w:pPr>
              <w:jc w:val="center"/>
              <w:rPr>
                <w:rFonts w:hint="default" w:ascii="Times New Roman" w:hAnsi="Times New Roman" w:cs="Times New Roman"/>
                <w:b/>
                <w:color w:val="auto"/>
                <w:szCs w:val="21"/>
                <w:highlight w:val="none"/>
              </w:rPr>
            </w:pPr>
          </w:p>
        </w:tc>
        <w:tc>
          <w:tcPr>
            <w:tcW w:w="647" w:type="pct"/>
            <w:vMerge w:val="continue"/>
            <w:tcBorders>
              <w:tl2br w:val="nil"/>
              <w:tr2bl w:val="nil"/>
            </w:tcBorders>
            <w:shd w:val="clear" w:color="auto" w:fill="auto"/>
            <w:noWrap w:val="0"/>
            <w:vAlign w:val="center"/>
          </w:tcPr>
          <w:p>
            <w:pPr>
              <w:jc w:val="center"/>
              <w:rPr>
                <w:rFonts w:hint="default" w:ascii="Times New Roman" w:hAnsi="Times New Roman" w:cs="Times New Roman"/>
                <w:b/>
                <w:color w:val="auto"/>
                <w:szCs w:val="21"/>
                <w:highlight w:val="none"/>
              </w:rPr>
            </w:pPr>
          </w:p>
        </w:tc>
        <w:tc>
          <w:tcPr>
            <w:tcW w:w="716" w:type="pct"/>
            <w:tcBorders>
              <w:tl2br w:val="nil"/>
              <w:tr2bl w:val="nil"/>
            </w:tcBorders>
            <w:shd w:val="clear" w:color="auto" w:fill="auto"/>
            <w:noWrap w:val="0"/>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 xml:space="preserve">气压 </w:t>
            </w:r>
            <w:r>
              <w:rPr>
                <w:rFonts w:hint="default" w:ascii="Times New Roman" w:hAnsi="Times New Roman" w:cs="Times New Roman"/>
                <w:b/>
                <w:iCs/>
                <w:color w:val="auto"/>
                <w:szCs w:val="21"/>
                <w:highlight w:val="none"/>
              </w:rPr>
              <w:t>kPa</w:t>
            </w:r>
          </w:p>
        </w:tc>
        <w:tc>
          <w:tcPr>
            <w:tcW w:w="717" w:type="pct"/>
            <w:tcBorders>
              <w:tl2br w:val="nil"/>
              <w:tr2bl w:val="nil"/>
            </w:tcBorders>
            <w:shd w:val="clear" w:color="auto" w:fill="auto"/>
            <w:noWrap w:val="0"/>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 xml:space="preserve">气温 </w:t>
            </w:r>
            <w:r>
              <w:rPr>
                <w:rFonts w:hint="default" w:ascii="Times New Roman" w:hAnsi="Times New Roman" w:cs="Times New Roman"/>
                <w:b/>
                <w:iCs/>
                <w:color w:val="auto"/>
                <w:szCs w:val="21"/>
                <w:highlight w:val="none"/>
              </w:rPr>
              <w:t>℃</w:t>
            </w:r>
          </w:p>
        </w:tc>
        <w:tc>
          <w:tcPr>
            <w:tcW w:w="716" w:type="pct"/>
            <w:tcBorders>
              <w:tl2br w:val="nil"/>
              <w:tr2bl w:val="nil"/>
            </w:tcBorders>
            <w:shd w:val="clear" w:color="auto" w:fill="auto"/>
            <w:noWrap w:val="0"/>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 xml:space="preserve">风速 </w:t>
            </w:r>
            <w:r>
              <w:rPr>
                <w:rFonts w:hint="default" w:ascii="Times New Roman" w:hAnsi="Times New Roman" w:cs="Times New Roman"/>
                <w:b/>
                <w:iCs/>
                <w:color w:val="auto"/>
                <w:szCs w:val="21"/>
                <w:highlight w:val="none"/>
              </w:rPr>
              <w:t>m/s</w:t>
            </w:r>
          </w:p>
        </w:tc>
        <w:tc>
          <w:tcPr>
            <w:tcW w:w="717" w:type="pct"/>
            <w:tcBorders>
              <w:tl2br w:val="nil"/>
              <w:tr2bl w:val="nil"/>
            </w:tcBorders>
            <w:shd w:val="clear" w:color="auto" w:fill="auto"/>
            <w:noWrap w:val="0"/>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主导风向</w:t>
            </w:r>
          </w:p>
        </w:tc>
        <w:tc>
          <w:tcPr>
            <w:tcW w:w="719" w:type="pct"/>
            <w:tcBorders>
              <w:tl2br w:val="nil"/>
              <w:tr2bl w:val="nil"/>
            </w:tcBorders>
            <w:shd w:val="clear" w:color="auto" w:fill="auto"/>
            <w:noWrap w:val="0"/>
            <w:vAlign w:val="center"/>
          </w:tcPr>
          <w:p>
            <w:pPr>
              <w:jc w:val="center"/>
              <w:rPr>
                <w:rFonts w:hint="default" w:ascii="Times New Roman" w:hAnsi="Times New Roman" w:cs="Times New Roman"/>
                <w:b/>
                <w:iCs/>
                <w:color w:val="auto"/>
                <w:szCs w:val="21"/>
                <w:highlight w:val="none"/>
              </w:rPr>
            </w:pPr>
            <w:r>
              <w:rPr>
                <w:rFonts w:hint="default" w:ascii="Times New Roman" w:hAnsi="Times New Roman" w:cs="Times New Roman"/>
                <w:b/>
                <w:iCs/>
                <w:color w:val="auto"/>
                <w:szCs w:val="21"/>
                <w:highlight w:val="none"/>
              </w:rPr>
              <w:t>天气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5" w:type="pct"/>
            <w:vMerge w:val="restar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2022-01-11</w:t>
            </w:r>
          </w:p>
        </w:tc>
        <w:tc>
          <w:tcPr>
            <w:tcW w:w="647"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08:07</w:t>
            </w:r>
          </w:p>
        </w:tc>
        <w:tc>
          <w:tcPr>
            <w:tcW w:w="716"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103.2</w:t>
            </w:r>
          </w:p>
        </w:tc>
        <w:tc>
          <w:tcPr>
            <w:tcW w:w="717"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1.9</w:t>
            </w:r>
          </w:p>
        </w:tc>
        <w:tc>
          <w:tcPr>
            <w:tcW w:w="716"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2.7</w:t>
            </w:r>
          </w:p>
        </w:tc>
        <w:tc>
          <w:tcPr>
            <w:tcW w:w="717"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北</w:t>
            </w:r>
          </w:p>
        </w:tc>
        <w:tc>
          <w:tcPr>
            <w:tcW w:w="719"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5" w:type="pct"/>
            <w:vMerge w:val="continue"/>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p>
        </w:tc>
        <w:tc>
          <w:tcPr>
            <w:tcW w:w="647"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09:21</w:t>
            </w:r>
          </w:p>
        </w:tc>
        <w:tc>
          <w:tcPr>
            <w:tcW w:w="716"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103.2</w:t>
            </w:r>
          </w:p>
        </w:tc>
        <w:tc>
          <w:tcPr>
            <w:tcW w:w="717"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2.6</w:t>
            </w:r>
          </w:p>
        </w:tc>
        <w:tc>
          <w:tcPr>
            <w:tcW w:w="716"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2.7</w:t>
            </w:r>
          </w:p>
        </w:tc>
        <w:tc>
          <w:tcPr>
            <w:tcW w:w="717"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北</w:t>
            </w:r>
          </w:p>
        </w:tc>
        <w:tc>
          <w:tcPr>
            <w:tcW w:w="719"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5" w:type="pct"/>
            <w:vMerge w:val="continue"/>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p>
        </w:tc>
        <w:tc>
          <w:tcPr>
            <w:tcW w:w="647"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10:40</w:t>
            </w:r>
          </w:p>
        </w:tc>
        <w:tc>
          <w:tcPr>
            <w:tcW w:w="716"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103.0</w:t>
            </w:r>
          </w:p>
        </w:tc>
        <w:tc>
          <w:tcPr>
            <w:tcW w:w="717"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4.3</w:t>
            </w:r>
          </w:p>
        </w:tc>
        <w:tc>
          <w:tcPr>
            <w:tcW w:w="716"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2.6</w:t>
            </w:r>
          </w:p>
        </w:tc>
        <w:tc>
          <w:tcPr>
            <w:tcW w:w="717"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北</w:t>
            </w:r>
          </w:p>
        </w:tc>
        <w:tc>
          <w:tcPr>
            <w:tcW w:w="719"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5" w:type="pct"/>
            <w:vMerge w:val="restar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2022-01-12</w:t>
            </w:r>
          </w:p>
        </w:tc>
        <w:tc>
          <w:tcPr>
            <w:tcW w:w="647"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08:48</w:t>
            </w:r>
          </w:p>
        </w:tc>
        <w:tc>
          <w:tcPr>
            <w:tcW w:w="716"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103.1</w:t>
            </w:r>
          </w:p>
        </w:tc>
        <w:tc>
          <w:tcPr>
            <w:tcW w:w="717"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5.3</w:t>
            </w:r>
          </w:p>
        </w:tc>
        <w:tc>
          <w:tcPr>
            <w:tcW w:w="716"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w:t>
            </w:r>
          </w:p>
        </w:tc>
        <w:tc>
          <w:tcPr>
            <w:tcW w:w="717"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北</w:t>
            </w:r>
          </w:p>
        </w:tc>
        <w:tc>
          <w:tcPr>
            <w:tcW w:w="719"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5" w:type="pct"/>
            <w:vMerge w:val="continue"/>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p>
        </w:tc>
        <w:tc>
          <w:tcPr>
            <w:tcW w:w="647"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10:11</w:t>
            </w:r>
          </w:p>
        </w:tc>
        <w:tc>
          <w:tcPr>
            <w:tcW w:w="716"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103.0</w:t>
            </w:r>
          </w:p>
        </w:tc>
        <w:tc>
          <w:tcPr>
            <w:tcW w:w="717"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7.4</w:t>
            </w:r>
          </w:p>
        </w:tc>
        <w:tc>
          <w:tcPr>
            <w:tcW w:w="716"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w:t>
            </w:r>
          </w:p>
        </w:tc>
        <w:tc>
          <w:tcPr>
            <w:tcW w:w="717"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北</w:t>
            </w:r>
          </w:p>
        </w:tc>
        <w:tc>
          <w:tcPr>
            <w:tcW w:w="719"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5" w:type="pct"/>
            <w:vMerge w:val="continue"/>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p>
        </w:tc>
        <w:tc>
          <w:tcPr>
            <w:tcW w:w="647"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11:32</w:t>
            </w:r>
          </w:p>
        </w:tc>
        <w:tc>
          <w:tcPr>
            <w:tcW w:w="716"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102.9</w:t>
            </w:r>
          </w:p>
        </w:tc>
        <w:tc>
          <w:tcPr>
            <w:tcW w:w="717"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8.0</w:t>
            </w:r>
          </w:p>
        </w:tc>
        <w:tc>
          <w:tcPr>
            <w:tcW w:w="716"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w:t>
            </w:r>
          </w:p>
        </w:tc>
        <w:tc>
          <w:tcPr>
            <w:tcW w:w="717"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北</w:t>
            </w:r>
          </w:p>
        </w:tc>
        <w:tc>
          <w:tcPr>
            <w:tcW w:w="719" w:type="pct"/>
            <w:tcBorders>
              <w:tl2br w:val="nil"/>
              <w:tr2bl w:val="nil"/>
            </w:tcBorders>
            <w:shd w:val="clear" w:color="auto" w:fill="auto"/>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晴</w:t>
            </w:r>
          </w:p>
        </w:tc>
      </w:tr>
    </w:tbl>
    <w:p>
      <w:pPr>
        <w:pStyle w:val="29"/>
        <w:rPr>
          <w:rFonts w:hint="default"/>
          <w:color w:val="auto"/>
          <w:highlight w:val="none"/>
          <w:lang w:val="en-US" w:eastAsia="zh-CN"/>
        </w:rPr>
      </w:pPr>
    </w:p>
    <w:p>
      <w:pPr>
        <w:pStyle w:val="29"/>
        <w:rPr>
          <w:rFonts w:hint="default"/>
          <w:color w:val="auto"/>
          <w:highlight w:val="none"/>
          <w:lang w:val="en-US" w:eastAsia="zh-CN"/>
        </w:rPr>
      </w:pPr>
    </w:p>
    <w:p>
      <w:pPr>
        <w:pStyle w:val="29"/>
        <w:rPr>
          <w:rFonts w:hint="default"/>
          <w:color w:val="auto"/>
          <w:highlight w:val="none"/>
          <w:lang w:val="en-US" w:eastAsia="zh-CN"/>
        </w:rPr>
      </w:pPr>
    </w:p>
    <w:p>
      <w:pPr>
        <w:widowControl/>
        <w:spacing w:line="360" w:lineRule="auto"/>
        <w:jc w:val="center"/>
        <w:rPr>
          <w:rFonts w:ascii="Times New Roman" w:hAnsi="Times New Roman" w:cs="Times New Roman"/>
          <w:b/>
          <w:bCs/>
          <w:color w:val="auto"/>
          <w:sz w:val="24"/>
          <w:szCs w:val="24"/>
          <w:highlight w:val="none"/>
        </w:rPr>
      </w:pPr>
      <w:r>
        <w:rPr>
          <w:rFonts w:ascii="Times New Roman" w:hAnsi="Times New Roman" w:cs="Times New Roman"/>
          <w:b/>
          <w:bCs/>
          <w:color w:val="auto"/>
          <w:sz w:val="24"/>
          <w:szCs w:val="24"/>
          <w:highlight w:val="none"/>
        </w:rPr>
        <w:t>表9-</w:t>
      </w:r>
      <w:r>
        <w:rPr>
          <w:rFonts w:hint="eastAsia" w:ascii="Times New Roman" w:hAnsi="Times New Roman" w:cs="Times New Roman"/>
          <w:b/>
          <w:bCs/>
          <w:color w:val="auto"/>
          <w:sz w:val="24"/>
          <w:szCs w:val="24"/>
          <w:highlight w:val="none"/>
          <w:lang w:val="en-US" w:eastAsia="zh-CN"/>
        </w:rPr>
        <w:t>7</w:t>
      </w:r>
      <w:r>
        <w:rPr>
          <w:rFonts w:ascii="Times New Roman" w:hAnsi="Times New Roman" w:cs="Times New Roman"/>
          <w:b/>
          <w:bCs/>
          <w:color w:val="auto"/>
          <w:sz w:val="24"/>
          <w:szCs w:val="24"/>
          <w:highlight w:val="none"/>
        </w:rPr>
        <w:t xml:space="preserve"> 噪声监测结果</w:t>
      </w:r>
    </w:p>
    <w:tbl>
      <w:tblPr>
        <w:tblStyle w:val="23"/>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070"/>
        <w:gridCol w:w="1340"/>
        <w:gridCol w:w="711"/>
        <w:gridCol w:w="1125"/>
        <w:gridCol w:w="1098"/>
        <w:gridCol w:w="1116"/>
        <w:gridCol w:w="1116"/>
        <w:gridCol w:w="93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tblHeader/>
        </w:trPr>
        <w:tc>
          <w:tcPr>
            <w:tcW w:w="628" w:type="pct"/>
            <w:tcBorders>
              <w:tl2br w:val="nil"/>
              <w:tr2bl w:val="nil"/>
            </w:tcBorders>
            <w:noWrap w:val="0"/>
            <w:vAlign w:val="center"/>
          </w:tcPr>
          <w:p>
            <w:pPr>
              <w:jc w:val="center"/>
              <w:rPr>
                <w:rFonts w:hint="default" w:ascii="Times New Roman" w:hAnsi="Times New Roman" w:cs="Times New Roman"/>
                <w:b/>
                <w:color w:val="auto"/>
                <w:spacing w:val="-2"/>
                <w:szCs w:val="21"/>
                <w:highlight w:val="none"/>
              </w:rPr>
            </w:pPr>
            <w:r>
              <w:rPr>
                <w:rFonts w:hint="default" w:ascii="Times New Roman" w:hAnsi="Times New Roman" w:cs="Times New Roman"/>
                <w:b/>
                <w:color w:val="auto"/>
                <w:spacing w:val="-2"/>
                <w:szCs w:val="21"/>
                <w:highlight w:val="none"/>
              </w:rPr>
              <w:t>检测点位</w:t>
            </w:r>
          </w:p>
        </w:tc>
        <w:tc>
          <w:tcPr>
            <w:tcW w:w="786" w:type="pct"/>
            <w:tcBorders>
              <w:tl2br w:val="nil"/>
              <w:tr2bl w:val="nil"/>
            </w:tcBorders>
            <w:noWrap w:val="0"/>
            <w:vAlign w:val="center"/>
          </w:tcPr>
          <w:p>
            <w:pPr>
              <w:jc w:val="center"/>
              <w:rPr>
                <w:rFonts w:hint="default" w:ascii="Times New Roman" w:hAnsi="Times New Roman" w:cs="Times New Roman"/>
                <w:b/>
                <w:color w:val="auto"/>
                <w:spacing w:val="-2"/>
                <w:szCs w:val="21"/>
                <w:highlight w:val="none"/>
              </w:rPr>
            </w:pPr>
            <w:r>
              <w:rPr>
                <w:rFonts w:hint="default" w:ascii="Times New Roman" w:hAnsi="Times New Roman" w:cs="Times New Roman"/>
                <w:b/>
                <w:color w:val="auto"/>
                <w:spacing w:val="-2"/>
                <w:szCs w:val="21"/>
                <w:highlight w:val="none"/>
              </w:rPr>
              <w:t>检测日期</w:t>
            </w:r>
          </w:p>
        </w:tc>
        <w:tc>
          <w:tcPr>
            <w:tcW w:w="417" w:type="pct"/>
            <w:tcBorders>
              <w:tl2br w:val="nil"/>
              <w:tr2bl w:val="nil"/>
            </w:tcBorders>
            <w:noWrap w:val="0"/>
            <w:vAlign w:val="center"/>
          </w:tcPr>
          <w:p>
            <w:pPr>
              <w:jc w:val="center"/>
              <w:rPr>
                <w:rFonts w:hint="default" w:ascii="Times New Roman" w:hAnsi="Times New Roman" w:cs="Times New Roman"/>
                <w:b/>
                <w:color w:val="auto"/>
                <w:spacing w:val="-2"/>
                <w:szCs w:val="21"/>
                <w:highlight w:val="none"/>
              </w:rPr>
            </w:pPr>
            <w:r>
              <w:rPr>
                <w:rFonts w:hint="default" w:ascii="Times New Roman" w:hAnsi="Times New Roman" w:cs="Times New Roman"/>
                <w:b/>
                <w:color w:val="auto"/>
                <w:spacing w:val="-2"/>
                <w:szCs w:val="21"/>
                <w:highlight w:val="none"/>
              </w:rPr>
              <w:t>天气</w:t>
            </w:r>
          </w:p>
          <w:p>
            <w:pPr>
              <w:jc w:val="center"/>
              <w:rPr>
                <w:rFonts w:hint="default" w:ascii="Times New Roman" w:hAnsi="Times New Roman" w:cs="Times New Roman"/>
                <w:b/>
                <w:color w:val="auto"/>
                <w:spacing w:val="-2"/>
                <w:szCs w:val="21"/>
                <w:highlight w:val="none"/>
              </w:rPr>
            </w:pPr>
            <w:r>
              <w:rPr>
                <w:rFonts w:hint="default" w:ascii="Times New Roman" w:hAnsi="Times New Roman" w:cs="Times New Roman"/>
                <w:b/>
                <w:color w:val="auto"/>
                <w:spacing w:val="-2"/>
                <w:szCs w:val="21"/>
                <w:highlight w:val="none"/>
              </w:rPr>
              <w:t>情况</w:t>
            </w:r>
          </w:p>
        </w:tc>
        <w:tc>
          <w:tcPr>
            <w:tcW w:w="660" w:type="pct"/>
            <w:tcBorders>
              <w:tl2br w:val="nil"/>
              <w:tr2bl w:val="nil"/>
            </w:tcBorders>
            <w:noWrap w:val="0"/>
            <w:vAlign w:val="center"/>
          </w:tcPr>
          <w:p>
            <w:pPr>
              <w:jc w:val="center"/>
              <w:rPr>
                <w:rFonts w:hint="default" w:ascii="Times New Roman" w:hAnsi="Times New Roman" w:cs="Times New Roman"/>
                <w:b/>
                <w:color w:val="auto"/>
                <w:spacing w:val="-2"/>
                <w:szCs w:val="21"/>
                <w:highlight w:val="none"/>
              </w:rPr>
            </w:pPr>
            <w:r>
              <w:rPr>
                <w:rFonts w:hint="default" w:ascii="Times New Roman" w:hAnsi="Times New Roman" w:cs="Times New Roman"/>
                <w:b/>
                <w:color w:val="auto"/>
                <w:spacing w:val="-2"/>
                <w:szCs w:val="21"/>
                <w:highlight w:val="none"/>
              </w:rPr>
              <w:t>检测期间最大风速m/s</w:t>
            </w:r>
          </w:p>
        </w:tc>
        <w:tc>
          <w:tcPr>
            <w:tcW w:w="644" w:type="pct"/>
            <w:tcBorders>
              <w:tl2br w:val="nil"/>
              <w:tr2bl w:val="nil"/>
            </w:tcBorders>
            <w:noWrap w:val="0"/>
            <w:vAlign w:val="center"/>
          </w:tcPr>
          <w:p>
            <w:pPr>
              <w:jc w:val="center"/>
              <w:rPr>
                <w:rFonts w:hint="default" w:ascii="Times New Roman" w:hAnsi="Times New Roman" w:cs="Times New Roman"/>
                <w:b/>
                <w:color w:val="auto"/>
                <w:spacing w:val="-2"/>
                <w:szCs w:val="21"/>
                <w:highlight w:val="none"/>
              </w:rPr>
            </w:pPr>
            <w:r>
              <w:rPr>
                <w:rFonts w:hint="default" w:ascii="Times New Roman" w:hAnsi="Times New Roman" w:cs="Times New Roman"/>
                <w:b/>
                <w:color w:val="auto"/>
                <w:spacing w:val="-2"/>
                <w:szCs w:val="21"/>
                <w:highlight w:val="none"/>
              </w:rPr>
              <w:t>检测项目</w:t>
            </w:r>
          </w:p>
        </w:tc>
        <w:tc>
          <w:tcPr>
            <w:tcW w:w="655" w:type="pct"/>
            <w:tcBorders>
              <w:tl2br w:val="nil"/>
              <w:tr2bl w:val="nil"/>
            </w:tcBorders>
            <w:noWrap w:val="0"/>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pacing w:val="-2"/>
                <w:szCs w:val="21"/>
                <w:highlight w:val="none"/>
              </w:rPr>
              <w:t>检测时间</w:t>
            </w:r>
          </w:p>
        </w:tc>
        <w:tc>
          <w:tcPr>
            <w:tcW w:w="655" w:type="pct"/>
            <w:tcBorders>
              <w:tl2br w:val="nil"/>
              <w:tr2bl w:val="nil"/>
            </w:tcBorders>
            <w:noWrap w:val="0"/>
            <w:vAlign w:val="center"/>
          </w:tcPr>
          <w:p>
            <w:pPr>
              <w:jc w:val="center"/>
              <w:rPr>
                <w:rFonts w:hint="default" w:ascii="Times New Roman" w:hAnsi="Times New Roman" w:cs="Times New Roman"/>
                <w:b/>
                <w:color w:val="auto"/>
                <w:spacing w:val="-2"/>
                <w:szCs w:val="21"/>
                <w:highlight w:val="none"/>
                <w:vertAlign w:val="subscript"/>
              </w:rPr>
            </w:pPr>
            <w:r>
              <w:rPr>
                <w:rFonts w:hint="default" w:ascii="Times New Roman" w:hAnsi="Times New Roman" w:cs="Times New Roman"/>
                <w:b/>
                <w:color w:val="auto"/>
                <w:spacing w:val="-2"/>
                <w:szCs w:val="21"/>
                <w:highlight w:val="none"/>
              </w:rPr>
              <w:t>L</w:t>
            </w:r>
            <w:r>
              <w:rPr>
                <w:rFonts w:hint="default" w:ascii="Times New Roman" w:hAnsi="Times New Roman" w:cs="Times New Roman"/>
                <w:b/>
                <w:color w:val="auto"/>
                <w:spacing w:val="-2"/>
                <w:szCs w:val="21"/>
                <w:highlight w:val="none"/>
                <w:vertAlign w:val="subscript"/>
              </w:rPr>
              <w:t>eq</w:t>
            </w:r>
            <w:r>
              <w:rPr>
                <w:rFonts w:hint="default" w:ascii="Times New Roman" w:hAnsi="Times New Roman" w:cs="Times New Roman"/>
                <w:b/>
                <w:color w:val="auto"/>
                <w:spacing w:val="-2"/>
                <w:szCs w:val="21"/>
                <w:highlight w:val="none"/>
              </w:rPr>
              <w:t>dB（A）</w:t>
            </w:r>
          </w:p>
        </w:tc>
        <w:tc>
          <w:tcPr>
            <w:tcW w:w="550" w:type="pct"/>
            <w:tcBorders>
              <w:tl2br w:val="nil"/>
              <w:tr2bl w:val="nil"/>
            </w:tcBorders>
            <w:noWrap w:val="0"/>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标准</w:t>
            </w:r>
          </w:p>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限值</w:t>
            </w:r>
          </w:p>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pacing w:val="-2"/>
                <w:szCs w:val="21"/>
                <w:highlight w:val="none"/>
              </w:rPr>
              <w:t>dB（A）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628" w:type="pct"/>
            <w:vMerge w:val="restar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w:t>
            </w:r>
            <w:r>
              <w:rPr>
                <w:rFonts w:hint="default" w:ascii="Times New Roman" w:hAnsi="Times New Roman" w:cs="Times New Roman"/>
                <w:color w:val="auto"/>
                <w:spacing w:val="-2"/>
                <w:szCs w:val="21"/>
                <w:highlight w:val="none"/>
              </w:rPr>
              <w:t>厂界</w:t>
            </w:r>
            <w:r>
              <w:rPr>
                <w:rFonts w:hint="default" w:ascii="Times New Roman" w:hAnsi="Times New Roman" w:cs="Times New Roman"/>
                <w:color w:val="auto"/>
                <w:szCs w:val="21"/>
                <w:highlight w:val="none"/>
              </w:rPr>
              <w:t>东侧</w:t>
            </w:r>
          </w:p>
        </w:tc>
        <w:tc>
          <w:tcPr>
            <w:tcW w:w="786" w:type="pct"/>
            <w:vMerge w:val="restar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2022-01-11</w:t>
            </w:r>
          </w:p>
        </w:tc>
        <w:tc>
          <w:tcPr>
            <w:tcW w:w="417" w:type="pct"/>
            <w:vMerge w:val="restar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晴</w:t>
            </w:r>
          </w:p>
        </w:tc>
        <w:tc>
          <w:tcPr>
            <w:tcW w:w="660"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2.4</w:t>
            </w:r>
          </w:p>
        </w:tc>
        <w:tc>
          <w:tcPr>
            <w:tcW w:w="644"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昼间噪声</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10:08</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58</w:t>
            </w:r>
          </w:p>
        </w:tc>
        <w:tc>
          <w:tcPr>
            <w:tcW w:w="550"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628" w:type="pct"/>
            <w:vMerge w:val="continue"/>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p>
        </w:tc>
        <w:tc>
          <w:tcPr>
            <w:tcW w:w="786" w:type="pct"/>
            <w:vMerge w:val="continue"/>
            <w:tcBorders>
              <w:tl2br w:val="nil"/>
              <w:tr2bl w:val="nil"/>
            </w:tcBorders>
            <w:noWrap w:val="0"/>
            <w:vAlign w:val="center"/>
          </w:tcPr>
          <w:p>
            <w:pPr>
              <w:jc w:val="center"/>
              <w:rPr>
                <w:rFonts w:hint="default" w:ascii="Times New Roman" w:hAnsi="Times New Roman" w:cs="Times New Roman"/>
                <w:color w:val="auto"/>
                <w:spacing w:val="-2"/>
                <w:szCs w:val="21"/>
                <w:highlight w:val="none"/>
              </w:rPr>
            </w:pPr>
          </w:p>
        </w:tc>
        <w:tc>
          <w:tcPr>
            <w:tcW w:w="417" w:type="pct"/>
            <w:vMerge w:val="continue"/>
            <w:tcBorders>
              <w:tl2br w:val="nil"/>
              <w:tr2bl w:val="nil"/>
            </w:tcBorders>
            <w:noWrap w:val="0"/>
            <w:vAlign w:val="center"/>
          </w:tcPr>
          <w:p>
            <w:pPr>
              <w:jc w:val="center"/>
              <w:rPr>
                <w:rFonts w:hint="default" w:ascii="Times New Roman" w:hAnsi="Times New Roman" w:cs="Times New Roman"/>
                <w:color w:val="auto"/>
                <w:spacing w:val="-2"/>
                <w:szCs w:val="21"/>
                <w:highlight w:val="none"/>
              </w:rPr>
            </w:pPr>
          </w:p>
        </w:tc>
        <w:tc>
          <w:tcPr>
            <w:tcW w:w="660"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2.3</w:t>
            </w:r>
          </w:p>
        </w:tc>
        <w:tc>
          <w:tcPr>
            <w:tcW w:w="644"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夜间噪声</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22:31</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45</w:t>
            </w:r>
          </w:p>
        </w:tc>
        <w:tc>
          <w:tcPr>
            <w:tcW w:w="550"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628" w:type="pct"/>
            <w:vMerge w:val="restar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w:t>
            </w:r>
            <w:r>
              <w:rPr>
                <w:rFonts w:hint="default" w:ascii="Times New Roman" w:hAnsi="Times New Roman" w:cs="Times New Roman"/>
                <w:color w:val="auto"/>
                <w:spacing w:val="-2"/>
                <w:szCs w:val="21"/>
                <w:highlight w:val="none"/>
              </w:rPr>
              <w:t>厂界</w:t>
            </w:r>
            <w:r>
              <w:rPr>
                <w:rFonts w:hint="default" w:ascii="Times New Roman" w:hAnsi="Times New Roman" w:cs="Times New Roman"/>
                <w:color w:val="auto"/>
                <w:szCs w:val="21"/>
                <w:highlight w:val="none"/>
              </w:rPr>
              <w:t>南侧</w:t>
            </w:r>
          </w:p>
        </w:tc>
        <w:tc>
          <w:tcPr>
            <w:tcW w:w="786" w:type="pct"/>
            <w:vMerge w:val="continue"/>
            <w:tcBorders>
              <w:tl2br w:val="nil"/>
              <w:tr2bl w:val="nil"/>
            </w:tcBorders>
            <w:noWrap w:val="0"/>
            <w:vAlign w:val="center"/>
          </w:tcPr>
          <w:p>
            <w:pPr>
              <w:jc w:val="center"/>
              <w:rPr>
                <w:rFonts w:hint="default" w:ascii="Times New Roman" w:hAnsi="Times New Roman" w:cs="Times New Roman"/>
                <w:color w:val="auto"/>
                <w:szCs w:val="21"/>
                <w:highlight w:val="none"/>
              </w:rPr>
            </w:pPr>
          </w:p>
        </w:tc>
        <w:tc>
          <w:tcPr>
            <w:tcW w:w="417" w:type="pct"/>
            <w:vMerge w:val="continue"/>
            <w:tcBorders>
              <w:tl2br w:val="nil"/>
              <w:tr2bl w:val="nil"/>
            </w:tcBorders>
            <w:noWrap w:val="0"/>
            <w:vAlign w:val="center"/>
          </w:tcPr>
          <w:p>
            <w:pPr>
              <w:jc w:val="center"/>
              <w:rPr>
                <w:rFonts w:hint="default" w:ascii="Times New Roman" w:hAnsi="Times New Roman" w:cs="Times New Roman"/>
                <w:color w:val="auto"/>
                <w:szCs w:val="21"/>
                <w:highlight w:val="none"/>
              </w:rPr>
            </w:pPr>
          </w:p>
        </w:tc>
        <w:tc>
          <w:tcPr>
            <w:tcW w:w="660"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2.4</w:t>
            </w:r>
          </w:p>
        </w:tc>
        <w:tc>
          <w:tcPr>
            <w:tcW w:w="644"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昼间噪声</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10:14</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56</w:t>
            </w:r>
          </w:p>
        </w:tc>
        <w:tc>
          <w:tcPr>
            <w:tcW w:w="550"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628" w:type="pct"/>
            <w:vMerge w:val="continue"/>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p>
        </w:tc>
        <w:tc>
          <w:tcPr>
            <w:tcW w:w="786" w:type="pct"/>
            <w:vMerge w:val="continue"/>
            <w:tcBorders>
              <w:tl2br w:val="nil"/>
              <w:tr2bl w:val="nil"/>
            </w:tcBorders>
            <w:noWrap w:val="0"/>
            <w:vAlign w:val="center"/>
          </w:tcPr>
          <w:p>
            <w:pPr>
              <w:jc w:val="center"/>
              <w:rPr>
                <w:rFonts w:hint="default" w:ascii="Times New Roman" w:hAnsi="Times New Roman" w:cs="Times New Roman"/>
                <w:color w:val="auto"/>
                <w:spacing w:val="-2"/>
                <w:szCs w:val="21"/>
                <w:highlight w:val="none"/>
              </w:rPr>
            </w:pPr>
          </w:p>
        </w:tc>
        <w:tc>
          <w:tcPr>
            <w:tcW w:w="417" w:type="pct"/>
            <w:vMerge w:val="continue"/>
            <w:tcBorders>
              <w:tl2br w:val="nil"/>
              <w:tr2bl w:val="nil"/>
            </w:tcBorders>
            <w:noWrap w:val="0"/>
            <w:vAlign w:val="center"/>
          </w:tcPr>
          <w:p>
            <w:pPr>
              <w:jc w:val="center"/>
              <w:rPr>
                <w:rFonts w:hint="default" w:ascii="Times New Roman" w:hAnsi="Times New Roman" w:cs="Times New Roman"/>
                <w:color w:val="auto"/>
                <w:spacing w:val="-2"/>
                <w:szCs w:val="21"/>
                <w:highlight w:val="none"/>
              </w:rPr>
            </w:pPr>
          </w:p>
        </w:tc>
        <w:tc>
          <w:tcPr>
            <w:tcW w:w="660"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2.3</w:t>
            </w:r>
          </w:p>
        </w:tc>
        <w:tc>
          <w:tcPr>
            <w:tcW w:w="644"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夜间噪声</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22:37</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47</w:t>
            </w:r>
          </w:p>
        </w:tc>
        <w:tc>
          <w:tcPr>
            <w:tcW w:w="550"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628" w:type="pct"/>
            <w:vMerge w:val="restar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w:t>
            </w:r>
            <w:r>
              <w:rPr>
                <w:rFonts w:hint="default" w:ascii="Times New Roman" w:hAnsi="Times New Roman" w:cs="Times New Roman"/>
                <w:color w:val="auto"/>
                <w:spacing w:val="-2"/>
                <w:szCs w:val="21"/>
                <w:highlight w:val="none"/>
              </w:rPr>
              <w:t>厂界</w:t>
            </w:r>
            <w:r>
              <w:rPr>
                <w:rFonts w:hint="default" w:ascii="Times New Roman" w:hAnsi="Times New Roman" w:cs="Times New Roman"/>
                <w:color w:val="auto"/>
                <w:szCs w:val="21"/>
                <w:highlight w:val="none"/>
              </w:rPr>
              <w:t>西侧</w:t>
            </w:r>
          </w:p>
        </w:tc>
        <w:tc>
          <w:tcPr>
            <w:tcW w:w="786" w:type="pct"/>
            <w:vMerge w:val="continue"/>
            <w:tcBorders>
              <w:tl2br w:val="nil"/>
              <w:tr2bl w:val="nil"/>
            </w:tcBorders>
            <w:noWrap w:val="0"/>
            <w:vAlign w:val="center"/>
          </w:tcPr>
          <w:p>
            <w:pPr>
              <w:jc w:val="center"/>
              <w:rPr>
                <w:rFonts w:hint="default" w:ascii="Times New Roman" w:hAnsi="Times New Roman" w:cs="Times New Roman"/>
                <w:color w:val="auto"/>
                <w:szCs w:val="21"/>
                <w:highlight w:val="none"/>
              </w:rPr>
            </w:pPr>
          </w:p>
        </w:tc>
        <w:tc>
          <w:tcPr>
            <w:tcW w:w="417" w:type="pct"/>
            <w:vMerge w:val="continue"/>
            <w:tcBorders>
              <w:tl2br w:val="nil"/>
              <w:tr2bl w:val="nil"/>
            </w:tcBorders>
            <w:noWrap w:val="0"/>
            <w:vAlign w:val="center"/>
          </w:tcPr>
          <w:p>
            <w:pPr>
              <w:jc w:val="center"/>
              <w:rPr>
                <w:rFonts w:hint="default" w:ascii="Times New Roman" w:hAnsi="Times New Roman" w:cs="Times New Roman"/>
                <w:color w:val="auto"/>
                <w:szCs w:val="21"/>
                <w:highlight w:val="none"/>
              </w:rPr>
            </w:pPr>
          </w:p>
        </w:tc>
        <w:tc>
          <w:tcPr>
            <w:tcW w:w="660"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2.3</w:t>
            </w:r>
          </w:p>
        </w:tc>
        <w:tc>
          <w:tcPr>
            <w:tcW w:w="644"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昼间噪声</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10:20</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57</w:t>
            </w:r>
          </w:p>
        </w:tc>
        <w:tc>
          <w:tcPr>
            <w:tcW w:w="550"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628" w:type="pct"/>
            <w:vMerge w:val="continue"/>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p>
        </w:tc>
        <w:tc>
          <w:tcPr>
            <w:tcW w:w="786" w:type="pct"/>
            <w:vMerge w:val="continue"/>
            <w:tcBorders>
              <w:tl2br w:val="nil"/>
              <w:tr2bl w:val="nil"/>
            </w:tcBorders>
            <w:noWrap w:val="0"/>
            <w:vAlign w:val="center"/>
          </w:tcPr>
          <w:p>
            <w:pPr>
              <w:jc w:val="center"/>
              <w:rPr>
                <w:rFonts w:hint="default" w:ascii="Times New Roman" w:hAnsi="Times New Roman" w:cs="Times New Roman"/>
                <w:color w:val="auto"/>
                <w:spacing w:val="-2"/>
                <w:szCs w:val="21"/>
                <w:highlight w:val="none"/>
              </w:rPr>
            </w:pPr>
          </w:p>
        </w:tc>
        <w:tc>
          <w:tcPr>
            <w:tcW w:w="417" w:type="pct"/>
            <w:vMerge w:val="continue"/>
            <w:tcBorders>
              <w:tl2br w:val="nil"/>
              <w:tr2bl w:val="nil"/>
            </w:tcBorders>
            <w:noWrap w:val="0"/>
            <w:vAlign w:val="center"/>
          </w:tcPr>
          <w:p>
            <w:pPr>
              <w:jc w:val="center"/>
              <w:rPr>
                <w:rFonts w:hint="default" w:ascii="Times New Roman" w:hAnsi="Times New Roman" w:cs="Times New Roman"/>
                <w:color w:val="auto"/>
                <w:spacing w:val="-2"/>
                <w:szCs w:val="21"/>
                <w:highlight w:val="none"/>
              </w:rPr>
            </w:pPr>
          </w:p>
        </w:tc>
        <w:tc>
          <w:tcPr>
            <w:tcW w:w="660"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2.2</w:t>
            </w:r>
          </w:p>
        </w:tc>
        <w:tc>
          <w:tcPr>
            <w:tcW w:w="644"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夜间噪声</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22:43</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49</w:t>
            </w:r>
          </w:p>
        </w:tc>
        <w:tc>
          <w:tcPr>
            <w:tcW w:w="550"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628" w:type="pct"/>
            <w:vMerge w:val="restar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w:t>
            </w:r>
            <w:r>
              <w:rPr>
                <w:rFonts w:hint="default" w:ascii="Times New Roman" w:hAnsi="Times New Roman" w:cs="Times New Roman"/>
                <w:color w:val="auto"/>
                <w:spacing w:val="-2"/>
                <w:szCs w:val="21"/>
                <w:highlight w:val="none"/>
              </w:rPr>
              <w:t>厂界</w:t>
            </w:r>
            <w:r>
              <w:rPr>
                <w:rFonts w:hint="default" w:ascii="Times New Roman" w:hAnsi="Times New Roman" w:cs="Times New Roman"/>
                <w:color w:val="auto"/>
                <w:szCs w:val="21"/>
                <w:highlight w:val="none"/>
              </w:rPr>
              <w:t>北侧</w:t>
            </w:r>
          </w:p>
        </w:tc>
        <w:tc>
          <w:tcPr>
            <w:tcW w:w="786" w:type="pct"/>
            <w:vMerge w:val="continue"/>
            <w:tcBorders>
              <w:tl2br w:val="nil"/>
              <w:tr2bl w:val="nil"/>
            </w:tcBorders>
            <w:noWrap w:val="0"/>
            <w:vAlign w:val="center"/>
          </w:tcPr>
          <w:p>
            <w:pPr>
              <w:jc w:val="center"/>
              <w:rPr>
                <w:rFonts w:hint="default" w:ascii="Times New Roman" w:hAnsi="Times New Roman" w:cs="Times New Roman"/>
                <w:color w:val="auto"/>
                <w:szCs w:val="21"/>
                <w:highlight w:val="none"/>
              </w:rPr>
            </w:pPr>
          </w:p>
        </w:tc>
        <w:tc>
          <w:tcPr>
            <w:tcW w:w="417" w:type="pct"/>
            <w:vMerge w:val="continue"/>
            <w:tcBorders>
              <w:tl2br w:val="nil"/>
              <w:tr2bl w:val="nil"/>
            </w:tcBorders>
            <w:noWrap w:val="0"/>
            <w:vAlign w:val="center"/>
          </w:tcPr>
          <w:p>
            <w:pPr>
              <w:jc w:val="center"/>
              <w:rPr>
                <w:rFonts w:hint="default" w:ascii="Times New Roman" w:hAnsi="Times New Roman" w:cs="Times New Roman"/>
                <w:color w:val="auto"/>
                <w:szCs w:val="21"/>
                <w:highlight w:val="none"/>
              </w:rPr>
            </w:pPr>
          </w:p>
        </w:tc>
        <w:tc>
          <w:tcPr>
            <w:tcW w:w="660"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2.4</w:t>
            </w:r>
          </w:p>
        </w:tc>
        <w:tc>
          <w:tcPr>
            <w:tcW w:w="644"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昼间噪声</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10:26</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55</w:t>
            </w:r>
          </w:p>
        </w:tc>
        <w:tc>
          <w:tcPr>
            <w:tcW w:w="550"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628" w:type="pct"/>
            <w:vMerge w:val="continue"/>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p>
        </w:tc>
        <w:tc>
          <w:tcPr>
            <w:tcW w:w="786" w:type="pct"/>
            <w:vMerge w:val="continue"/>
            <w:tcBorders>
              <w:tl2br w:val="nil"/>
              <w:tr2bl w:val="nil"/>
            </w:tcBorders>
            <w:noWrap w:val="0"/>
            <w:vAlign w:val="center"/>
          </w:tcPr>
          <w:p>
            <w:pPr>
              <w:jc w:val="center"/>
              <w:rPr>
                <w:rFonts w:hint="default" w:ascii="Times New Roman" w:hAnsi="Times New Roman" w:cs="Times New Roman"/>
                <w:color w:val="auto"/>
                <w:spacing w:val="-2"/>
                <w:szCs w:val="21"/>
                <w:highlight w:val="none"/>
              </w:rPr>
            </w:pPr>
          </w:p>
        </w:tc>
        <w:tc>
          <w:tcPr>
            <w:tcW w:w="417" w:type="pct"/>
            <w:vMerge w:val="continue"/>
            <w:tcBorders>
              <w:tl2br w:val="nil"/>
              <w:tr2bl w:val="nil"/>
            </w:tcBorders>
            <w:noWrap w:val="0"/>
            <w:vAlign w:val="center"/>
          </w:tcPr>
          <w:p>
            <w:pPr>
              <w:jc w:val="center"/>
              <w:rPr>
                <w:rFonts w:hint="default" w:ascii="Times New Roman" w:hAnsi="Times New Roman" w:cs="Times New Roman"/>
                <w:color w:val="auto"/>
                <w:spacing w:val="-2"/>
                <w:szCs w:val="21"/>
                <w:highlight w:val="none"/>
              </w:rPr>
            </w:pPr>
          </w:p>
        </w:tc>
        <w:tc>
          <w:tcPr>
            <w:tcW w:w="660"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2.3</w:t>
            </w:r>
          </w:p>
        </w:tc>
        <w:tc>
          <w:tcPr>
            <w:tcW w:w="644"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夜间噪声</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22:49</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43</w:t>
            </w:r>
          </w:p>
        </w:tc>
        <w:tc>
          <w:tcPr>
            <w:tcW w:w="550"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628" w:type="pct"/>
            <w:vMerge w:val="restar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w:t>
            </w:r>
            <w:r>
              <w:rPr>
                <w:rFonts w:hint="default" w:ascii="Times New Roman" w:hAnsi="Times New Roman" w:cs="Times New Roman"/>
                <w:color w:val="auto"/>
                <w:spacing w:val="-2"/>
                <w:szCs w:val="21"/>
                <w:highlight w:val="none"/>
              </w:rPr>
              <w:t>厂界</w:t>
            </w:r>
            <w:r>
              <w:rPr>
                <w:rFonts w:hint="default" w:ascii="Times New Roman" w:hAnsi="Times New Roman" w:cs="Times New Roman"/>
                <w:color w:val="auto"/>
                <w:szCs w:val="21"/>
                <w:highlight w:val="none"/>
              </w:rPr>
              <w:t>东侧</w:t>
            </w:r>
          </w:p>
        </w:tc>
        <w:tc>
          <w:tcPr>
            <w:tcW w:w="786" w:type="pct"/>
            <w:vMerge w:val="restar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2022-01-12</w:t>
            </w:r>
          </w:p>
        </w:tc>
        <w:tc>
          <w:tcPr>
            <w:tcW w:w="417" w:type="pct"/>
            <w:vMerge w:val="restar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晴</w:t>
            </w:r>
          </w:p>
        </w:tc>
        <w:tc>
          <w:tcPr>
            <w:tcW w:w="660"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2.3</w:t>
            </w:r>
          </w:p>
        </w:tc>
        <w:tc>
          <w:tcPr>
            <w:tcW w:w="644"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昼间噪声</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09:14</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56</w:t>
            </w:r>
          </w:p>
        </w:tc>
        <w:tc>
          <w:tcPr>
            <w:tcW w:w="550"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628" w:type="pct"/>
            <w:vMerge w:val="continue"/>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p>
        </w:tc>
        <w:tc>
          <w:tcPr>
            <w:tcW w:w="786" w:type="pct"/>
            <w:vMerge w:val="continue"/>
            <w:tcBorders>
              <w:tl2br w:val="nil"/>
              <w:tr2bl w:val="nil"/>
            </w:tcBorders>
            <w:noWrap w:val="0"/>
            <w:vAlign w:val="center"/>
          </w:tcPr>
          <w:p>
            <w:pPr>
              <w:jc w:val="center"/>
              <w:rPr>
                <w:rFonts w:hint="default" w:ascii="Times New Roman" w:hAnsi="Times New Roman" w:cs="Times New Roman"/>
                <w:color w:val="auto"/>
                <w:spacing w:val="-2"/>
                <w:szCs w:val="21"/>
                <w:highlight w:val="none"/>
              </w:rPr>
            </w:pPr>
          </w:p>
        </w:tc>
        <w:tc>
          <w:tcPr>
            <w:tcW w:w="417" w:type="pct"/>
            <w:vMerge w:val="continue"/>
            <w:tcBorders>
              <w:tl2br w:val="nil"/>
              <w:tr2bl w:val="nil"/>
            </w:tcBorders>
            <w:noWrap w:val="0"/>
            <w:vAlign w:val="center"/>
          </w:tcPr>
          <w:p>
            <w:pPr>
              <w:jc w:val="center"/>
              <w:rPr>
                <w:rFonts w:hint="default" w:ascii="Times New Roman" w:hAnsi="Times New Roman" w:cs="Times New Roman"/>
                <w:color w:val="auto"/>
                <w:spacing w:val="-2"/>
                <w:szCs w:val="21"/>
                <w:highlight w:val="none"/>
              </w:rPr>
            </w:pPr>
          </w:p>
        </w:tc>
        <w:tc>
          <w:tcPr>
            <w:tcW w:w="660"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2.4</w:t>
            </w:r>
          </w:p>
        </w:tc>
        <w:tc>
          <w:tcPr>
            <w:tcW w:w="644"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夜间噪声</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22:24</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44</w:t>
            </w:r>
          </w:p>
        </w:tc>
        <w:tc>
          <w:tcPr>
            <w:tcW w:w="550"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628" w:type="pct"/>
            <w:vMerge w:val="restar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w:t>
            </w:r>
            <w:r>
              <w:rPr>
                <w:rFonts w:hint="default" w:ascii="Times New Roman" w:hAnsi="Times New Roman" w:cs="Times New Roman"/>
                <w:color w:val="auto"/>
                <w:spacing w:val="-2"/>
                <w:szCs w:val="21"/>
                <w:highlight w:val="none"/>
              </w:rPr>
              <w:t>厂界</w:t>
            </w:r>
            <w:r>
              <w:rPr>
                <w:rFonts w:hint="default" w:ascii="Times New Roman" w:hAnsi="Times New Roman" w:cs="Times New Roman"/>
                <w:color w:val="auto"/>
                <w:szCs w:val="21"/>
                <w:highlight w:val="none"/>
              </w:rPr>
              <w:t>南侧</w:t>
            </w:r>
          </w:p>
        </w:tc>
        <w:tc>
          <w:tcPr>
            <w:tcW w:w="786" w:type="pct"/>
            <w:vMerge w:val="continue"/>
            <w:tcBorders>
              <w:tl2br w:val="nil"/>
              <w:tr2bl w:val="nil"/>
            </w:tcBorders>
            <w:noWrap w:val="0"/>
            <w:vAlign w:val="center"/>
          </w:tcPr>
          <w:p>
            <w:pPr>
              <w:jc w:val="center"/>
              <w:rPr>
                <w:rFonts w:hint="default" w:ascii="Times New Roman" w:hAnsi="Times New Roman" w:cs="Times New Roman"/>
                <w:color w:val="auto"/>
                <w:szCs w:val="21"/>
                <w:highlight w:val="none"/>
              </w:rPr>
            </w:pPr>
          </w:p>
        </w:tc>
        <w:tc>
          <w:tcPr>
            <w:tcW w:w="417" w:type="pct"/>
            <w:vMerge w:val="continue"/>
            <w:tcBorders>
              <w:tl2br w:val="nil"/>
              <w:tr2bl w:val="nil"/>
            </w:tcBorders>
            <w:noWrap w:val="0"/>
            <w:vAlign w:val="center"/>
          </w:tcPr>
          <w:p>
            <w:pPr>
              <w:jc w:val="center"/>
              <w:rPr>
                <w:rFonts w:hint="default" w:ascii="Times New Roman" w:hAnsi="Times New Roman" w:cs="Times New Roman"/>
                <w:color w:val="auto"/>
                <w:szCs w:val="21"/>
                <w:highlight w:val="none"/>
              </w:rPr>
            </w:pPr>
          </w:p>
        </w:tc>
        <w:tc>
          <w:tcPr>
            <w:tcW w:w="660"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2.3</w:t>
            </w:r>
          </w:p>
        </w:tc>
        <w:tc>
          <w:tcPr>
            <w:tcW w:w="644"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昼间噪声</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09:21</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56</w:t>
            </w:r>
          </w:p>
        </w:tc>
        <w:tc>
          <w:tcPr>
            <w:tcW w:w="550"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628" w:type="pct"/>
            <w:vMerge w:val="continue"/>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p>
        </w:tc>
        <w:tc>
          <w:tcPr>
            <w:tcW w:w="786" w:type="pct"/>
            <w:vMerge w:val="continue"/>
            <w:tcBorders>
              <w:tl2br w:val="nil"/>
              <w:tr2bl w:val="nil"/>
            </w:tcBorders>
            <w:noWrap w:val="0"/>
            <w:vAlign w:val="center"/>
          </w:tcPr>
          <w:p>
            <w:pPr>
              <w:jc w:val="center"/>
              <w:rPr>
                <w:rFonts w:hint="default" w:ascii="Times New Roman" w:hAnsi="Times New Roman" w:cs="Times New Roman"/>
                <w:color w:val="auto"/>
                <w:spacing w:val="-2"/>
                <w:szCs w:val="21"/>
                <w:highlight w:val="none"/>
              </w:rPr>
            </w:pPr>
          </w:p>
        </w:tc>
        <w:tc>
          <w:tcPr>
            <w:tcW w:w="417" w:type="pct"/>
            <w:vMerge w:val="continue"/>
            <w:tcBorders>
              <w:tl2br w:val="nil"/>
              <w:tr2bl w:val="nil"/>
            </w:tcBorders>
            <w:noWrap w:val="0"/>
            <w:vAlign w:val="center"/>
          </w:tcPr>
          <w:p>
            <w:pPr>
              <w:jc w:val="center"/>
              <w:rPr>
                <w:rFonts w:hint="default" w:ascii="Times New Roman" w:hAnsi="Times New Roman" w:cs="Times New Roman"/>
                <w:color w:val="auto"/>
                <w:spacing w:val="-2"/>
                <w:szCs w:val="21"/>
                <w:highlight w:val="none"/>
              </w:rPr>
            </w:pPr>
          </w:p>
        </w:tc>
        <w:tc>
          <w:tcPr>
            <w:tcW w:w="660"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2.4</w:t>
            </w:r>
          </w:p>
        </w:tc>
        <w:tc>
          <w:tcPr>
            <w:tcW w:w="644"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夜间噪声</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22:29</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46</w:t>
            </w:r>
          </w:p>
        </w:tc>
        <w:tc>
          <w:tcPr>
            <w:tcW w:w="550"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628" w:type="pct"/>
            <w:vMerge w:val="restar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w:t>
            </w:r>
            <w:r>
              <w:rPr>
                <w:rFonts w:hint="default" w:ascii="Times New Roman" w:hAnsi="Times New Roman" w:cs="Times New Roman"/>
                <w:color w:val="auto"/>
                <w:spacing w:val="-2"/>
                <w:szCs w:val="21"/>
                <w:highlight w:val="none"/>
              </w:rPr>
              <w:t>厂界</w:t>
            </w:r>
            <w:r>
              <w:rPr>
                <w:rFonts w:hint="default" w:ascii="Times New Roman" w:hAnsi="Times New Roman" w:cs="Times New Roman"/>
                <w:color w:val="auto"/>
                <w:szCs w:val="21"/>
                <w:highlight w:val="none"/>
              </w:rPr>
              <w:t>西侧</w:t>
            </w:r>
          </w:p>
        </w:tc>
        <w:tc>
          <w:tcPr>
            <w:tcW w:w="786" w:type="pct"/>
            <w:vMerge w:val="continue"/>
            <w:tcBorders>
              <w:tl2br w:val="nil"/>
              <w:tr2bl w:val="nil"/>
            </w:tcBorders>
            <w:noWrap w:val="0"/>
            <w:vAlign w:val="center"/>
          </w:tcPr>
          <w:p>
            <w:pPr>
              <w:jc w:val="center"/>
              <w:rPr>
                <w:rFonts w:hint="default" w:ascii="Times New Roman" w:hAnsi="Times New Roman" w:cs="Times New Roman"/>
                <w:color w:val="auto"/>
                <w:szCs w:val="21"/>
                <w:highlight w:val="none"/>
              </w:rPr>
            </w:pPr>
          </w:p>
        </w:tc>
        <w:tc>
          <w:tcPr>
            <w:tcW w:w="417" w:type="pct"/>
            <w:vMerge w:val="continue"/>
            <w:tcBorders>
              <w:tl2br w:val="nil"/>
              <w:tr2bl w:val="nil"/>
            </w:tcBorders>
            <w:noWrap w:val="0"/>
            <w:vAlign w:val="center"/>
          </w:tcPr>
          <w:p>
            <w:pPr>
              <w:jc w:val="center"/>
              <w:rPr>
                <w:rFonts w:hint="default" w:ascii="Times New Roman" w:hAnsi="Times New Roman" w:cs="Times New Roman"/>
                <w:color w:val="auto"/>
                <w:szCs w:val="21"/>
                <w:highlight w:val="none"/>
              </w:rPr>
            </w:pPr>
          </w:p>
        </w:tc>
        <w:tc>
          <w:tcPr>
            <w:tcW w:w="660"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2.3</w:t>
            </w:r>
          </w:p>
        </w:tc>
        <w:tc>
          <w:tcPr>
            <w:tcW w:w="644"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昼间噪声</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09:27</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58</w:t>
            </w:r>
          </w:p>
        </w:tc>
        <w:tc>
          <w:tcPr>
            <w:tcW w:w="550"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628" w:type="pct"/>
            <w:vMerge w:val="continue"/>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p>
        </w:tc>
        <w:tc>
          <w:tcPr>
            <w:tcW w:w="786" w:type="pct"/>
            <w:vMerge w:val="continue"/>
            <w:tcBorders>
              <w:tl2br w:val="nil"/>
              <w:tr2bl w:val="nil"/>
            </w:tcBorders>
            <w:noWrap w:val="0"/>
            <w:vAlign w:val="center"/>
          </w:tcPr>
          <w:p>
            <w:pPr>
              <w:jc w:val="center"/>
              <w:rPr>
                <w:rFonts w:hint="default" w:ascii="Times New Roman" w:hAnsi="Times New Roman" w:cs="Times New Roman"/>
                <w:color w:val="auto"/>
                <w:spacing w:val="-2"/>
                <w:szCs w:val="21"/>
                <w:highlight w:val="none"/>
              </w:rPr>
            </w:pPr>
          </w:p>
        </w:tc>
        <w:tc>
          <w:tcPr>
            <w:tcW w:w="417" w:type="pct"/>
            <w:vMerge w:val="continue"/>
            <w:tcBorders>
              <w:tl2br w:val="nil"/>
              <w:tr2bl w:val="nil"/>
            </w:tcBorders>
            <w:noWrap w:val="0"/>
            <w:vAlign w:val="center"/>
          </w:tcPr>
          <w:p>
            <w:pPr>
              <w:jc w:val="center"/>
              <w:rPr>
                <w:rFonts w:hint="default" w:ascii="Times New Roman" w:hAnsi="Times New Roman" w:cs="Times New Roman"/>
                <w:color w:val="auto"/>
                <w:spacing w:val="-2"/>
                <w:szCs w:val="21"/>
                <w:highlight w:val="none"/>
              </w:rPr>
            </w:pPr>
          </w:p>
        </w:tc>
        <w:tc>
          <w:tcPr>
            <w:tcW w:w="660"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2.3</w:t>
            </w:r>
          </w:p>
        </w:tc>
        <w:tc>
          <w:tcPr>
            <w:tcW w:w="644"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夜间噪声</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22:35</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48</w:t>
            </w:r>
          </w:p>
        </w:tc>
        <w:tc>
          <w:tcPr>
            <w:tcW w:w="550"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628" w:type="pct"/>
            <w:vMerge w:val="restar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w:t>
            </w:r>
            <w:r>
              <w:rPr>
                <w:rFonts w:hint="default" w:ascii="Times New Roman" w:hAnsi="Times New Roman" w:cs="Times New Roman"/>
                <w:color w:val="auto"/>
                <w:spacing w:val="-2"/>
                <w:szCs w:val="21"/>
                <w:highlight w:val="none"/>
              </w:rPr>
              <w:t>厂界</w:t>
            </w:r>
            <w:r>
              <w:rPr>
                <w:rFonts w:hint="default" w:ascii="Times New Roman" w:hAnsi="Times New Roman" w:cs="Times New Roman"/>
                <w:color w:val="auto"/>
                <w:szCs w:val="21"/>
                <w:highlight w:val="none"/>
              </w:rPr>
              <w:t>北侧</w:t>
            </w:r>
          </w:p>
        </w:tc>
        <w:tc>
          <w:tcPr>
            <w:tcW w:w="786" w:type="pct"/>
            <w:vMerge w:val="continue"/>
            <w:tcBorders>
              <w:tl2br w:val="nil"/>
              <w:tr2bl w:val="nil"/>
            </w:tcBorders>
            <w:noWrap w:val="0"/>
            <w:vAlign w:val="center"/>
          </w:tcPr>
          <w:p>
            <w:pPr>
              <w:jc w:val="center"/>
              <w:rPr>
                <w:rFonts w:hint="default" w:ascii="Times New Roman" w:hAnsi="Times New Roman" w:cs="Times New Roman"/>
                <w:color w:val="auto"/>
                <w:szCs w:val="21"/>
                <w:highlight w:val="none"/>
              </w:rPr>
            </w:pPr>
          </w:p>
        </w:tc>
        <w:tc>
          <w:tcPr>
            <w:tcW w:w="417" w:type="pct"/>
            <w:vMerge w:val="continue"/>
            <w:tcBorders>
              <w:tl2br w:val="nil"/>
              <w:tr2bl w:val="nil"/>
            </w:tcBorders>
            <w:noWrap w:val="0"/>
            <w:vAlign w:val="center"/>
          </w:tcPr>
          <w:p>
            <w:pPr>
              <w:jc w:val="center"/>
              <w:rPr>
                <w:rFonts w:hint="default" w:ascii="Times New Roman" w:hAnsi="Times New Roman" w:cs="Times New Roman"/>
                <w:color w:val="auto"/>
                <w:szCs w:val="21"/>
                <w:highlight w:val="none"/>
              </w:rPr>
            </w:pPr>
          </w:p>
        </w:tc>
        <w:tc>
          <w:tcPr>
            <w:tcW w:w="660"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2.3</w:t>
            </w:r>
          </w:p>
        </w:tc>
        <w:tc>
          <w:tcPr>
            <w:tcW w:w="644"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昼间噪声</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09:33</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56</w:t>
            </w:r>
          </w:p>
        </w:tc>
        <w:tc>
          <w:tcPr>
            <w:tcW w:w="550"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628" w:type="pct"/>
            <w:vMerge w:val="continue"/>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p>
        </w:tc>
        <w:tc>
          <w:tcPr>
            <w:tcW w:w="786" w:type="pct"/>
            <w:vMerge w:val="continue"/>
            <w:tcBorders>
              <w:tl2br w:val="nil"/>
              <w:tr2bl w:val="nil"/>
            </w:tcBorders>
            <w:noWrap w:val="0"/>
            <w:vAlign w:val="center"/>
          </w:tcPr>
          <w:p>
            <w:pPr>
              <w:jc w:val="center"/>
              <w:rPr>
                <w:rFonts w:hint="default" w:ascii="Times New Roman" w:hAnsi="Times New Roman" w:cs="Times New Roman"/>
                <w:color w:val="auto"/>
                <w:spacing w:val="-2"/>
                <w:szCs w:val="21"/>
                <w:highlight w:val="none"/>
              </w:rPr>
            </w:pPr>
          </w:p>
        </w:tc>
        <w:tc>
          <w:tcPr>
            <w:tcW w:w="417" w:type="pct"/>
            <w:vMerge w:val="continue"/>
            <w:tcBorders>
              <w:tl2br w:val="nil"/>
              <w:tr2bl w:val="nil"/>
            </w:tcBorders>
            <w:noWrap w:val="0"/>
            <w:vAlign w:val="center"/>
          </w:tcPr>
          <w:p>
            <w:pPr>
              <w:jc w:val="center"/>
              <w:rPr>
                <w:rFonts w:hint="default" w:ascii="Times New Roman" w:hAnsi="Times New Roman" w:cs="Times New Roman"/>
                <w:color w:val="auto"/>
                <w:spacing w:val="-2"/>
                <w:szCs w:val="21"/>
                <w:highlight w:val="none"/>
              </w:rPr>
            </w:pPr>
          </w:p>
        </w:tc>
        <w:tc>
          <w:tcPr>
            <w:tcW w:w="660"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2.4</w:t>
            </w:r>
          </w:p>
        </w:tc>
        <w:tc>
          <w:tcPr>
            <w:tcW w:w="644"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夜间噪声</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22:42</w:t>
            </w:r>
          </w:p>
        </w:tc>
        <w:tc>
          <w:tcPr>
            <w:tcW w:w="655" w:type="pct"/>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45</w:t>
            </w:r>
          </w:p>
        </w:tc>
        <w:tc>
          <w:tcPr>
            <w:tcW w:w="550" w:type="pct"/>
            <w:tcBorders>
              <w:tl2br w:val="nil"/>
              <w:tr2bl w:val="nil"/>
            </w:tcBorders>
            <w:noWrap w:val="0"/>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r>
    </w:tbl>
    <w:p>
      <w:pPr>
        <w:pStyle w:val="29"/>
        <w:rPr>
          <w:color w:val="auto"/>
          <w:highlight w:val="none"/>
        </w:rPr>
      </w:pPr>
    </w:p>
    <w:p>
      <w:pPr>
        <w:rPr>
          <w:color w:val="auto"/>
          <w:highlight w:val="none"/>
        </w:rPr>
      </w:pPr>
      <w:r>
        <w:rPr>
          <w:color w:val="auto"/>
          <w:highlight w:val="none"/>
        </w:rPr>
        <w:br w:type="page"/>
      </w:r>
    </w:p>
    <w:p>
      <w:pPr>
        <w:pStyle w:val="3"/>
        <w:snapToGrid w:val="0"/>
        <w:spacing w:before="0" w:after="0" w:line="312" w:lineRule="auto"/>
        <w:jc w:val="left"/>
        <w:rPr>
          <w:rFonts w:ascii="Times New Roman" w:hAnsi="Times New Roman" w:cs="Times New Roman"/>
          <w:color w:val="auto"/>
          <w:sz w:val="28"/>
          <w:szCs w:val="28"/>
          <w:highlight w:val="none"/>
        </w:rPr>
      </w:pPr>
      <w:bookmarkStart w:id="80" w:name="_Toc28241"/>
      <w:r>
        <w:rPr>
          <w:rFonts w:ascii="Times New Roman" w:hAnsi="Times New Roman" w:cs="Times New Roman"/>
          <w:color w:val="auto"/>
          <w:sz w:val="28"/>
          <w:szCs w:val="28"/>
          <w:highlight w:val="none"/>
        </w:rPr>
        <w:t>10、验收监测结论</w:t>
      </w:r>
      <w:bookmarkEnd w:id="80"/>
    </w:p>
    <w:p>
      <w:pPr>
        <w:pStyle w:val="4"/>
        <w:snapToGrid w:val="0"/>
        <w:spacing w:before="0" w:after="0" w:line="312" w:lineRule="auto"/>
        <w:rPr>
          <w:rFonts w:ascii="Times New Roman" w:hAnsi="Times New Roman" w:cs="Times New Roman" w:eastAsiaTheme="minorEastAsia"/>
          <w:color w:val="auto"/>
          <w:sz w:val="24"/>
          <w:szCs w:val="24"/>
          <w:highlight w:val="none"/>
        </w:rPr>
      </w:pPr>
      <w:bookmarkStart w:id="81" w:name="_Toc21329"/>
      <w:bookmarkStart w:id="82" w:name="_Toc6680"/>
      <w:bookmarkStart w:id="83" w:name="_Toc10947"/>
      <w:r>
        <w:rPr>
          <w:rFonts w:ascii="Times New Roman" w:hAnsi="Times New Roman" w:cs="Times New Roman" w:eastAsiaTheme="minorEastAsia"/>
          <w:color w:val="auto"/>
          <w:sz w:val="24"/>
          <w:szCs w:val="24"/>
          <w:highlight w:val="none"/>
        </w:rPr>
        <w:t>10.1</w:t>
      </w:r>
      <w:bookmarkEnd w:id="81"/>
      <w:bookmarkEnd w:id="82"/>
      <w:r>
        <w:rPr>
          <w:rFonts w:ascii="Times New Roman" w:hAnsi="Times New Roman" w:cs="Times New Roman" w:eastAsiaTheme="minorEastAsia"/>
          <w:color w:val="auto"/>
          <w:sz w:val="24"/>
          <w:szCs w:val="24"/>
          <w:highlight w:val="none"/>
        </w:rPr>
        <w:t>环保设施调试运行结果</w:t>
      </w:r>
      <w:bookmarkEnd w:id="83"/>
    </w:p>
    <w:p>
      <w:pPr>
        <w:snapToGrid w:val="0"/>
        <w:spacing w:line="324" w:lineRule="auto"/>
        <w:ind w:firstLine="480" w:firstLineChars="200"/>
        <w:rPr>
          <w:rFonts w:ascii="Times New Roman" w:hAnsi="Times New Roman" w:cs="Times New Roman"/>
          <w:color w:val="auto"/>
          <w:sz w:val="24"/>
          <w:szCs w:val="24"/>
          <w:highlight w:val="none"/>
        </w:rPr>
      </w:pPr>
      <w:bookmarkStart w:id="84" w:name="_Toc4244"/>
      <w:r>
        <w:rPr>
          <w:rFonts w:ascii="Times New Roman" w:hAnsi="Times New Roman" w:cs="Times New Roman"/>
          <w:color w:val="auto"/>
          <w:sz w:val="24"/>
          <w:szCs w:val="24"/>
          <w:highlight w:val="none"/>
        </w:rPr>
        <w:t>1、监测期间的生产工况</w:t>
      </w:r>
    </w:p>
    <w:p>
      <w:pPr>
        <w:pStyle w:val="39"/>
        <w:snapToGrid w:val="0"/>
        <w:spacing w:before="0" w:line="324" w:lineRule="auto"/>
        <w:rPr>
          <w:rFonts w:ascii="Times New Roman" w:hAnsi="Times New Roman" w:cs="Times New Roman" w:eastAsiaTheme="minorEastAsia"/>
          <w:color w:val="auto"/>
          <w:highlight w:val="none"/>
        </w:rPr>
      </w:pPr>
      <w:r>
        <w:rPr>
          <w:rFonts w:ascii="Times New Roman" w:hAnsi="Times New Roman" w:cs="Times New Roman" w:eastAsiaTheme="minorEastAsia"/>
          <w:color w:val="auto"/>
          <w:highlight w:val="none"/>
        </w:rPr>
        <w:t>验收监测期间（</w:t>
      </w:r>
      <w:r>
        <w:rPr>
          <w:rFonts w:hint="eastAsia" w:ascii="Times New Roman" w:hAnsi="Times New Roman" w:cs="Times New Roman" w:eastAsiaTheme="minorEastAsia"/>
          <w:bCs/>
          <w:color w:val="auto"/>
          <w:highlight w:val="none"/>
          <w:lang w:eastAsia="zh-CN"/>
        </w:rPr>
        <w:t>2022年1月11日~1月12日、</w:t>
      </w:r>
      <w:r>
        <w:rPr>
          <w:rFonts w:hint="eastAsia" w:ascii="Times New Roman" w:hAnsi="Times New Roman" w:cs="Times New Roman" w:eastAsiaTheme="minorEastAsia"/>
          <w:color w:val="auto"/>
          <w:highlight w:val="none"/>
          <w:lang w:eastAsia="zh-CN"/>
        </w:rPr>
        <w:t>2022年</w:t>
      </w:r>
      <w:r>
        <w:rPr>
          <w:rFonts w:hint="eastAsia" w:ascii="Times New Roman" w:hAnsi="Times New Roman" w:cs="Times New Roman" w:eastAsiaTheme="minorEastAsia"/>
          <w:color w:val="auto"/>
          <w:highlight w:val="none"/>
          <w:lang w:val="en-US" w:eastAsia="zh-CN"/>
        </w:rPr>
        <w:t>2</w:t>
      </w:r>
      <w:r>
        <w:rPr>
          <w:rFonts w:hint="eastAsia" w:ascii="Times New Roman" w:hAnsi="Times New Roman" w:cs="Times New Roman" w:eastAsiaTheme="minorEastAsia"/>
          <w:color w:val="auto"/>
          <w:highlight w:val="none"/>
          <w:lang w:eastAsia="zh-CN"/>
        </w:rPr>
        <w:t>月</w:t>
      </w:r>
      <w:r>
        <w:rPr>
          <w:rFonts w:hint="eastAsia" w:ascii="Times New Roman" w:hAnsi="Times New Roman" w:cs="Times New Roman" w:eastAsiaTheme="minorEastAsia"/>
          <w:color w:val="auto"/>
          <w:highlight w:val="none"/>
          <w:lang w:val="en-US" w:eastAsia="zh-CN"/>
        </w:rPr>
        <w:t>22</w:t>
      </w:r>
      <w:r>
        <w:rPr>
          <w:rFonts w:hint="eastAsia" w:ascii="Times New Roman" w:hAnsi="Times New Roman" w:cs="Times New Roman" w:eastAsiaTheme="minorEastAsia"/>
          <w:color w:val="auto"/>
          <w:highlight w:val="none"/>
          <w:lang w:eastAsia="zh-CN"/>
        </w:rPr>
        <w:t>日~</w:t>
      </w:r>
      <w:r>
        <w:rPr>
          <w:rFonts w:hint="eastAsia" w:ascii="Times New Roman" w:hAnsi="Times New Roman" w:cs="Times New Roman" w:eastAsiaTheme="minorEastAsia"/>
          <w:color w:val="auto"/>
          <w:highlight w:val="none"/>
          <w:lang w:val="en-US" w:eastAsia="zh-CN"/>
        </w:rPr>
        <w:t>2</w:t>
      </w:r>
      <w:r>
        <w:rPr>
          <w:rFonts w:hint="eastAsia" w:ascii="Times New Roman" w:hAnsi="Times New Roman" w:cs="Times New Roman" w:eastAsiaTheme="minorEastAsia"/>
          <w:color w:val="auto"/>
          <w:highlight w:val="none"/>
          <w:lang w:eastAsia="zh-CN"/>
        </w:rPr>
        <w:t>月</w:t>
      </w:r>
      <w:r>
        <w:rPr>
          <w:rFonts w:hint="eastAsia" w:ascii="Times New Roman" w:hAnsi="Times New Roman" w:cs="Times New Roman" w:eastAsiaTheme="minorEastAsia"/>
          <w:color w:val="auto"/>
          <w:highlight w:val="none"/>
          <w:lang w:val="en-US" w:eastAsia="zh-CN"/>
        </w:rPr>
        <w:t>23</w:t>
      </w:r>
      <w:r>
        <w:rPr>
          <w:rFonts w:hint="eastAsia" w:ascii="Times New Roman" w:hAnsi="Times New Roman" w:cs="Times New Roman" w:eastAsiaTheme="minorEastAsia"/>
          <w:color w:val="auto"/>
          <w:highlight w:val="none"/>
          <w:lang w:eastAsia="zh-CN"/>
        </w:rPr>
        <w:t>日</w:t>
      </w:r>
      <w:r>
        <w:rPr>
          <w:rFonts w:ascii="Times New Roman" w:hAnsi="Times New Roman" w:cs="Times New Roman" w:eastAsiaTheme="minorEastAsia"/>
          <w:color w:val="auto"/>
          <w:highlight w:val="none"/>
        </w:rPr>
        <w:t>），</w:t>
      </w:r>
      <w:r>
        <w:rPr>
          <w:rFonts w:hint="eastAsia" w:ascii="Times New Roman" w:hAnsi="Times New Roman" w:cs="Times New Roman" w:eastAsiaTheme="minorEastAsia"/>
          <w:color w:val="auto"/>
          <w:highlight w:val="none"/>
          <w:lang w:eastAsia="zh-CN"/>
        </w:rPr>
        <w:t>宁波市鄞州勤锦金属回收有限公司</w:t>
      </w:r>
      <w:r>
        <w:rPr>
          <w:rFonts w:ascii="Times New Roman" w:hAnsi="Times New Roman" w:cs="Times New Roman" w:eastAsiaTheme="minorEastAsia"/>
          <w:color w:val="auto"/>
          <w:highlight w:val="none"/>
        </w:rPr>
        <w:t>实际生产负荷均符合建设项目竣工环境保护验收监测对生产工况的要求。</w:t>
      </w:r>
    </w:p>
    <w:p>
      <w:pPr>
        <w:pStyle w:val="39"/>
        <w:snapToGrid w:val="0"/>
        <w:spacing w:before="0" w:line="324" w:lineRule="auto"/>
        <w:rPr>
          <w:rFonts w:ascii="Times New Roman" w:hAnsi="Times New Roman" w:cs="Times New Roman" w:eastAsiaTheme="minorEastAsia"/>
          <w:color w:val="auto"/>
          <w:highlight w:val="none"/>
        </w:rPr>
      </w:pPr>
      <w:r>
        <w:rPr>
          <w:rFonts w:ascii="Times New Roman" w:hAnsi="Times New Roman" w:cs="Times New Roman" w:eastAsiaTheme="minorEastAsia"/>
          <w:color w:val="auto"/>
          <w:highlight w:val="none"/>
        </w:rPr>
        <w:t>2、废气</w:t>
      </w:r>
    </w:p>
    <w:p>
      <w:pPr>
        <w:pStyle w:val="39"/>
        <w:pageBreakBefore w:val="0"/>
        <w:kinsoku/>
        <w:wordWrap/>
        <w:overflowPunct/>
        <w:topLinePunct w:val="0"/>
        <w:autoSpaceDE/>
        <w:autoSpaceDN/>
        <w:bidi w:val="0"/>
        <w:adjustRightInd/>
        <w:snapToGrid/>
        <w:spacing w:before="0" w:line="360" w:lineRule="auto"/>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eastAsia="zh-CN"/>
        </w:rPr>
        <w:t>（</w:t>
      </w:r>
      <w:r>
        <w:rPr>
          <w:rFonts w:hint="eastAsia" w:ascii="Times New Roman" w:hAnsi="Times New Roman" w:cs="Times New Roman" w:eastAsiaTheme="minorEastAsia"/>
          <w:color w:val="auto"/>
          <w:highlight w:val="none"/>
          <w:lang w:val="en-US" w:eastAsia="zh-CN"/>
        </w:rPr>
        <w:t>1</w:t>
      </w:r>
      <w:r>
        <w:rPr>
          <w:rFonts w:hint="eastAsia" w:ascii="Times New Roman" w:hAnsi="Times New Roman" w:cs="Times New Roman" w:eastAsiaTheme="minorEastAsia"/>
          <w:color w:val="auto"/>
          <w:highlight w:val="none"/>
          <w:lang w:eastAsia="zh-CN"/>
        </w:rPr>
        <w:t>）</w:t>
      </w:r>
      <w:r>
        <w:rPr>
          <w:rFonts w:hint="eastAsia" w:ascii="Times New Roman" w:hAnsi="Times New Roman" w:cs="Times New Roman" w:eastAsiaTheme="minorEastAsia"/>
          <w:color w:val="auto"/>
          <w:highlight w:val="none"/>
          <w:lang w:val="en-US" w:eastAsia="zh-CN"/>
        </w:rPr>
        <w:t>有组织废气</w:t>
      </w:r>
    </w:p>
    <w:p>
      <w:pPr>
        <w:pStyle w:val="39"/>
        <w:pageBreakBefore w:val="0"/>
        <w:kinsoku/>
        <w:wordWrap/>
        <w:overflowPunct/>
        <w:topLinePunct w:val="0"/>
        <w:autoSpaceDE/>
        <w:autoSpaceDN/>
        <w:bidi w:val="0"/>
        <w:adjustRightInd/>
        <w:snapToGrid/>
        <w:spacing w:before="0" w:line="360" w:lineRule="auto"/>
        <w:textAlignment w:val="auto"/>
        <w:rPr>
          <w:rFonts w:hint="eastAsia" w:ascii="Times New Roman" w:hAnsi="Times New Roman" w:cs="Times New Roman" w:eastAsiaTheme="minorEastAsia"/>
          <w:color w:val="auto"/>
          <w:highlight w:val="none"/>
          <w:lang w:val="en-US" w:eastAsia="zh-CN"/>
        </w:rPr>
      </w:pPr>
      <w:r>
        <w:rPr>
          <w:rFonts w:ascii="Times New Roman" w:hAnsi="Times New Roman" w:cs="Times New Roman" w:eastAsiaTheme="minorEastAsia"/>
          <w:color w:val="auto"/>
          <w:highlight w:val="none"/>
        </w:rPr>
        <w:t>验收监测期间（</w:t>
      </w:r>
      <w:r>
        <w:rPr>
          <w:rFonts w:hint="eastAsia" w:ascii="Times New Roman" w:hAnsi="Times New Roman" w:cs="Times New Roman" w:eastAsiaTheme="minorEastAsia"/>
          <w:color w:val="auto"/>
          <w:highlight w:val="none"/>
          <w:lang w:eastAsia="zh-CN"/>
        </w:rPr>
        <w:t>2022年</w:t>
      </w:r>
      <w:r>
        <w:rPr>
          <w:rFonts w:hint="eastAsia" w:ascii="Times New Roman" w:hAnsi="Times New Roman" w:cs="Times New Roman" w:eastAsiaTheme="minorEastAsia"/>
          <w:color w:val="auto"/>
          <w:highlight w:val="none"/>
          <w:lang w:val="en-US" w:eastAsia="zh-CN"/>
        </w:rPr>
        <w:t>2</w:t>
      </w:r>
      <w:r>
        <w:rPr>
          <w:rFonts w:hint="eastAsia" w:ascii="Times New Roman" w:hAnsi="Times New Roman" w:cs="Times New Roman" w:eastAsiaTheme="minorEastAsia"/>
          <w:color w:val="auto"/>
          <w:highlight w:val="none"/>
          <w:lang w:eastAsia="zh-CN"/>
        </w:rPr>
        <w:t>月</w:t>
      </w:r>
      <w:r>
        <w:rPr>
          <w:rFonts w:hint="eastAsia" w:ascii="Times New Roman" w:hAnsi="Times New Roman" w:cs="Times New Roman" w:eastAsiaTheme="minorEastAsia"/>
          <w:color w:val="auto"/>
          <w:highlight w:val="none"/>
          <w:lang w:val="en-US" w:eastAsia="zh-CN"/>
        </w:rPr>
        <w:t>22</w:t>
      </w:r>
      <w:r>
        <w:rPr>
          <w:rFonts w:hint="eastAsia" w:ascii="Times New Roman" w:hAnsi="Times New Roman" w:cs="Times New Roman" w:eastAsiaTheme="minorEastAsia"/>
          <w:color w:val="auto"/>
          <w:highlight w:val="none"/>
          <w:lang w:eastAsia="zh-CN"/>
        </w:rPr>
        <w:t>日~</w:t>
      </w:r>
      <w:r>
        <w:rPr>
          <w:rFonts w:hint="eastAsia" w:ascii="Times New Roman" w:hAnsi="Times New Roman" w:cs="Times New Roman" w:eastAsiaTheme="minorEastAsia"/>
          <w:color w:val="auto"/>
          <w:highlight w:val="none"/>
          <w:lang w:val="en-US" w:eastAsia="zh-CN"/>
        </w:rPr>
        <w:t>2</w:t>
      </w:r>
      <w:r>
        <w:rPr>
          <w:rFonts w:hint="eastAsia" w:ascii="Times New Roman" w:hAnsi="Times New Roman" w:cs="Times New Roman" w:eastAsiaTheme="minorEastAsia"/>
          <w:color w:val="auto"/>
          <w:highlight w:val="none"/>
          <w:lang w:eastAsia="zh-CN"/>
        </w:rPr>
        <w:t>月</w:t>
      </w:r>
      <w:r>
        <w:rPr>
          <w:rFonts w:hint="eastAsia" w:ascii="Times New Roman" w:hAnsi="Times New Roman" w:cs="Times New Roman" w:eastAsiaTheme="minorEastAsia"/>
          <w:color w:val="auto"/>
          <w:highlight w:val="none"/>
          <w:lang w:val="en-US" w:eastAsia="zh-CN"/>
        </w:rPr>
        <w:t>23</w:t>
      </w:r>
      <w:r>
        <w:rPr>
          <w:rFonts w:hint="eastAsia" w:ascii="Times New Roman" w:hAnsi="Times New Roman" w:cs="Times New Roman" w:eastAsiaTheme="minorEastAsia"/>
          <w:color w:val="auto"/>
          <w:highlight w:val="none"/>
          <w:lang w:eastAsia="zh-CN"/>
        </w:rPr>
        <w:t>日</w:t>
      </w:r>
      <w:r>
        <w:rPr>
          <w:rFonts w:ascii="Times New Roman" w:hAnsi="Times New Roman" w:cs="Times New Roman" w:eastAsiaTheme="minorEastAsia"/>
          <w:color w:val="auto"/>
          <w:highlight w:val="none"/>
        </w:rPr>
        <w:t>），</w:t>
      </w:r>
      <w:r>
        <w:rPr>
          <w:rFonts w:hint="eastAsia" w:ascii="Times New Roman" w:hAnsi="Times New Roman" w:cs="Times New Roman" w:eastAsiaTheme="minorEastAsia"/>
          <w:color w:val="auto"/>
          <w:highlight w:val="none"/>
          <w:lang w:val="en-US" w:eastAsia="zh-CN"/>
        </w:rPr>
        <w:t>废油液挥发有机废气出口中非甲烷总烃排放浓度符合</w:t>
      </w:r>
      <w:r>
        <w:rPr>
          <w:rFonts w:ascii="Times New Roman" w:hAnsi="Times New Roman" w:cs="Times New Roman" w:eastAsiaTheme="minorEastAsia"/>
          <w:color w:val="auto"/>
          <w:highlight w:val="none"/>
        </w:rPr>
        <w:t>《大气污染物综合排放标准》（GB16297-1996）</w:t>
      </w:r>
      <w:r>
        <w:rPr>
          <w:rFonts w:hint="eastAsia" w:ascii="Times New Roman" w:hAnsi="Times New Roman" w:cs="Times New Roman" w:eastAsiaTheme="minorEastAsia"/>
          <w:color w:val="auto"/>
          <w:highlight w:val="none"/>
          <w:lang w:eastAsia="zh-CN"/>
        </w:rPr>
        <w:t>“</w:t>
      </w:r>
      <w:r>
        <w:rPr>
          <w:rFonts w:hint="default" w:ascii="Times New Roman" w:hAnsi="Times New Roman" w:cs="Times New Roman" w:eastAsiaTheme="minorEastAsia"/>
          <w:color w:val="auto"/>
          <w:highlight w:val="none"/>
        </w:rPr>
        <w:t>新污染源大气污染物排放限值</w:t>
      </w:r>
      <w:r>
        <w:rPr>
          <w:rFonts w:hint="eastAsia" w:ascii="Times New Roman" w:hAnsi="Times New Roman" w:cs="Times New Roman" w:eastAsiaTheme="minorEastAsia"/>
          <w:color w:val="auto"/>
          <w:highlight w:val="none"/>
          <w:lang w:eastAsia="zh-CN"/>
        </w:rPr>
        <w:t>”</w:t>
      </w:r>
      <w:r>
        <w:rPr>
          <w:rFonts w:hint="eastAsia" w:ascii="Times New Roman" w:hAnsi="Times New Roman" w:cs="Times New Roman" w:eastAsiaTheme="minorEastAsia"/>
          <w:color w:val="auto"/>
          <w:highlight w:val="none"/>
        </w:rPr>
        <w:t>二级标准</w:t>
      </w:r>
      <w:r>
        <w:rPr>
          <w:rFonts w:hint="eastAsia" w:ascii="Times New Roman" w:hAnsi="Times New Roman" w:cs="Times New Roman" w:eastAsiaTheme="minorEastAsia"/>
          <w:color w:val="auto"/>
          <w:highlight w:val="none"/>
          <w:lang w:eastAsia="zh-CN"/>
        </w:rPr>
        <w:t>。</w:t>
      </w:r>
    </w:p>
    <w:p>
      <w:pPr>
        <w:pStyle w:val="39"/>
        <w:pageBreakBefore w:val="0"/>
        <w:kinsoku/>
        <w:wordWrap/>
        <w:overflowPunct/>
        <w:topLinePunct w:val="0"/>
        <w:autoSpaceDE/>
        <w:autoSpaceDN/>
        <w:bidi w:val="0"/>
        <w:adjustRightInd/>
        <w:snapToGrid/>
        <w:spacing w:before="0" w:line="360" w:lineRule="auto"/>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eastAsia="zh-CN"/>
        </w:rPr>
        <w:t>（</w:t>
      </w:r>
      <w:r>
        <w:rPr>
          <w:rFonts w:hint="eastAsia" w:ascii="Times New Roman" w:hAnsi="Times New Roman" w:cs="Times New Roman" w:eastAsiaTheme="minorEastAsia"/>
          <w:color w:val="auto"/>
          <w:highlight w:val="none"/>
          <w:lang w:val="en-US" w:eastAsia="zh-CN"/>
        </w:rPr>
        <w:t>2</w:t>
      </w:r>
      <w:r>
        <w:rPr>
          <w:rFonts w:hint="eastAsia" w:ascii="Times New Roman" w:hAnsi="Times New Roman" w:cs="Times New Roman" w:eastAsiaTheme="minorEastAsia"/>
          <w:color w:val="auto"/>
          <w:highlight w:val="none"/>
          <w:lang w:eastAsia="zh-CN"/>
        </w:rPr>
        <w:t>）</w:t>
      </w:r>
      <w:r>
        <w:rPr>
          <w:rFonts w:hint="eastAsia" w:ascii="Times New Roman" w:hAnsi="Times New Roman" w:cs="Times New Roman" w:eastAsiaTheme="minorEastAsia"/>
          <w:color w:val="auto"/>
          <w:highlight w:val="none"/>
          <w:lang w:val="en-US" w:eastAsia="zh-CN"/>
        </w:rPr>
        <w:t>无组织废气</w:t>
      </w:r>
    </w:p>
    <w:p>
      <w:pPr>
        <w:pStyle w:val="39"/>
        <w:pageBreakBefore w:val="0"/>
        <w:kinsoku/>
        <w:wordWrap/>
        <w:overflowPunct/>
        <w:topLinePunct w:val="0"/>
        <w:autoSpaceDE/>
        <w:autoSpaceDN/>
        <w:bidi w:val="0"/>
        <w:adjustRightInd/>
        <w:snapToGrid/>
        <w:spacing w:before="0" w:line="360" w:lineRule="auto"/>
        <w:textAlignment w:val="auto"/>
        <w:rPr>
          <w:rFonts w:hint="eastAsia" w:ascii="Times New Roman" w:hAnsi="Times New Roman" w:cs="Times New Roman" w:eastAsiaTheme="minorEastAsia"/>
          <w:color w:val="auto"/>
          <w:highlight w:val="none"/>
          <w:lang w:val="en-US" w:eastAsia="zh-CN"/>
        </w:rPr>
      </w:pPr>
      <w:r>
        <w:rPr>
          <w:rFonts w:ascii="Times New Roman" w:hAnsi="Times New Roman" w:cs="Times New Roman" w:eastAsiaTheme="minorEastAsia"/>
          <w:color w:val="auto"/>
          <w:highlight w:val="none"/>
        </w:rPr>
        <w:t>验收监测期间（</w:t>
      </w:r>
      <w:r>
        <w:rPr>
          <w:rFonts w:hint="eastAsia" w:ascii="Times New Roman" w:hAnsi="Times New Roman" w:cs="Times New Roman" w:eastAsiaTheme="minorEastAsia"/>
          <w:color w:val="auto"/>
          <w:highlight w:val="none"/>
          <w:lang w:eastAsia="zh-CN"/>
        </w:rPr>
        <w:t>2022年1月11日~1月12日</w:t>
      </w:r>
      <w:r>
        <w:rPr>
          <w:rFonts w:ascii="Times New Roman" w:hAnsi="Times New Roman" w:cs="Times New Roman" w:eastAsiaTheme="minorEastAsia"/>
          <w:color w:val="auto"/>
          <w:highlight w:val="none"/>
        </w:rPr>
        <w:t>），厂房一车间外1m监测点</w:t>
      </w:r>
      <w:r>
        <w:rPr>
          <w:rFonts w:hint="eastAsia" w:ascii="Times New Roman" w:hAnsi="Times New Roman" w:cs="Times New Roman" w:eastAsiaTheme="minorEastAsia"/>
          <w:color w:val="auto"/>
          <w:highlight w:val="none"/>
          <w:lang w:eastAsia="zh-CN"/>
        </w:rPr>
        <w:t>和</w:t>
      </w:r>
      <w:r>
        <w:rPr>
          <w:rFonts w:ascii="Times New Roman" w:hAnsi="Times New Roman" w:cs="Times New Roman" w:eastAsiaTheme="minorEastAsia"/>
          <w:color w:val="auto"/>
          <w:highlight w:val="none"/>
        </w:rPr>
        <w:t>厂房二车间外1m监测点</w:t>
      </w:r>
      <w:r>
        <w:rPr>
          <w:rFonts w:hint="eastAsia" w:ascii="Times New Roman" w:hAnsi="Times New Roman" w:cs="Times New Roman" w:eastAsiaTheme="minorEastAsia"/>
          <w:color w:val="auto"/>
          <w:highlight w:val="none"/>
          <w:lang w:eastAsia="zh-CN"/>
        </w:rPr>
        <w:t>非甲烷总烃监控值均符合</w:t>
      </w:r>
      <w:r>
        <w:rPr>
          <w:rFonts w:hint="default" w:ascii="Times New Roman" w:hAnsi="Times New Roman" w:cs="Times New Roman" w:eastAsiaTheme="minorEastAsia"/>
          <w:color w:val="auto"/>
          <w:highlight w:val="none"/>
          <w:lang w:val="en-US" w:eastAsia="zh-CN"/>
        </w:rPr>
        <w:t>《挥发性有机物无组织排放控制标准》（GB37822-2019）</w:t>
      </w:r>
      <w:r>
        <w:rPr>
          <w:rFonts w:hint="eastAsia" w:ascii="Times New Roman" w:hAnsi="Times New Roman" w:cs="Times New Roman" w:eastAsiaTheme="minorEastAsia"/>
          <w:color w:val="auto"/>
          <w:highlight w:val="none"/>
          <w:lang w:val="en-US" w:eastAsia="zh-CN"/>
        </w:rPr>
        <w:t>表A.1</w:t>
      </w:r>
      <w:r>
        <w:rPr>
          <w:rFonts w:hint="default" w:ascii="Times New Roman" w:hAnsi="Times New Roman" w:cs="Times New Roman" w:eastAsiaTheme="minorEastAsia"/>
          <w:color w:val="auto"/>
          <w:highlight w:val="none"/>
          <w:lang w:val="en-US" w:eastAsia="zh-CN"/>
        </w:rPr>
        <w:t>规定的特别排放限值</w:t>
      </w:r>
      <w:r>
        <w:rPr>
          <w:rFonts w:hint="eastAsia" w:ascii="Times New Roman" w:hAnsi="Times New Roman" w:cs="Times New Roman" w:eastAsiaTheme="minorEastAsia"/>
          <w:color w:val="auto"/>
          <w:highlight w:val="none"/>
          <w:lang w:val="en-US" w:eastAsia="zh-CN"/>
        </w:rPr>
        <w:t>。</w:t>
      </w:r>
    </w:p>
    <w:p>
      <w:pPr>
        <w:pStyle w:val="39"/>
        <w:pageBreakBefore w:val="0"/>
        <w:kinsoku/>
        <w:wordWrap/>
        <w:overflowPunct/>
        <w:topLinePunct w:val="0"/>
        <w:autoSpaceDE/>
        <w:autoSpaceDN/>
        <w:bidi w:val="0"/>
        <w:adjustRightInd/>
        <w:snapToGrid/>
        <w:spacing w:before="0" w:line="360" w:lineRule="auto"/>
        <w:textAlignment w:val="auto"/>
        <w:rPr>
          <w:rFonts w:hint="eastAsia" w:ascii="Times New Roman" w:hAnsi="Times New Roman" w:cs="Times New Roman" w:eastAsiaTheme="minorEastAsia"/>
          <w:color w:val="auto"/>
          <w:highlight w:val="none"/>
        </w:rPr>
      </w:pPr>
      <w:r>
        <w:rPr>
          <w:rFonts w:ascii="Times New Roman" w:hAnsi="Times New Roman" w:cs="Times New Roman" w:eastAsiaTheme="minorEastAsia"/>
          <w:color w:val="auto"/>
          <w:highlight w:val="none"/>
        </w:rPr>
        <w:t>验收监测期间（</w:t>
      </w:r>
      <w:r>
        <w:rPr>
          <w:rFonts w:hint="eastAsia" w:ascii="Times New Roman" w:hAnsi="Times New Roman" w:cs="Times New Roman" w:eastAsiaTheme="minorEastAsia"/>
          <w:color w:val="auto"/>
          <w:highlight w:val="none"/>
          <w:lang w:eastAsia="zh-CN"/>
        </w:rPr>
        <w:t>2022年1月11日~1月12日</w:t>
      </w:r>
      <w:r>
        <w:rPr>
          <w:rFonts w:ascii="Times New Roman" w:hAnsi="Times New Roman" w:cs="Times New Roman" w:eastAsiaTheme="minorEastAsia"/>
          <w:color w:val="auto"/>
          <w:highlight w:val="none"/>
        </w:rPr>
        <w:t>），</w:t>
      </w:r>
      <w:r>
        <w:rPr>
          <w:rFonts w:hint="eastAsia" w:ascii="Times New Roman" w:hAnsi="Times New Roman" w:cs="Times New Roman" w:eastAsiaTheme="minorEastAsia"/>
          <w:color w:val="auto"/>
          <w:highlight w:val="none"/>
        </w:rPr>
        <w:t>企业上下风向总悬浮颗粒物</w:t>
      </w:r>
      <w:r>
        <w:rPr>
          <w:rFonts w:hint="eastAsia" w:ascii="Times New Roman" w:hAnsi="Times New Roman" w:cs="Times New Roman" w:eastAsiaTheme="minorEastAsia"/>
          <w:color w:val="auto"/>
          <w:highlight w:val="none"/>
          <w:lang w:eastAsia="zh-CN"/>
        </w:rPr>
        <w:t>、非甲烷总烃、氟化物</w:t>
      </w:r>
      <w:r>
        <w:rPr>
          <w:rFonts w:hint="eastAsia" w:ascii="Times New Roman" w:hAnsi="Times New Roman" w:cs="Times New Roman" w:eastAsiaTheme="minorEastAsia"/>
          <w:color w:val="auto"/>
          <w:highlight w:val="none"/>
        </w:rPr>
        <w:t>监控值</w:t>
      </w:r>
      <w:r>
        <w:rPr>
          <w:rFonts w:ascii="Times New Roman" w:hAnsi="Times New Roman" w:cs="Times New Roman" w:eastAsiaTheme="minorEastAsia"/>
          <w:color w:val="auto"/>
          <w:highlight w:val="none"/>
        </w:rPr>
        <w:t>符合《大气污染物综合排放标准》（GB16297-1996）</w:t>
      </w:r>
      <w:r>
        <w:rPr>
          <w:rFonts w:hint="eastAsia" w:ascii="Times New Roman" w:hAnsi="Times New Roman" w:cs="Times New Roman" w:eastAsiaTheme="minorEastAsia"/>
          <w:color w:val="auto"/>
          <w:highlight w:val="none"/>
        </w:rPr>
        <w:t>无组织排放标准。</w:t>
      </w:r>
    </w:p>
    <w:p>
      <w:pPr>
        <w:pStyle w:val="39"/>
        <w:snapToGrid w:val="0"/>
        <w:spacing w:before="0" w:line="324" w:lineRule="auto"/>
        <w:rPr>
          <w:rFonts w:ascii="Times New Roman" w:hAnsi="Times New Roman" w:cs="Times New Roman" w:eastAsiaTheme="minorEastAsia"/>
          <w:color w:val="auto"/>
          <w:highlight w:val="none"/>
        </w:rPr>
      </w:pPr>
      <w:r>
        <w:rPr>
          <w:rFonts w:ascii="Times New Roman" w:hAnsi="Times New Roman" w:cs="Times New Roman" w:eastAsiaTheme="minorEastAsia"/>
          <w:color w:val="auto"/>
          <w:highlight w:val="none"/>
        </w:rPr>
        <w:t>3、废水</w:t>
      </w:r>
    </w:p>
    <w:p>
      <w:pPr>
        <w:spacing w:line="360" w:lineRule="auto"/>
        <w:ind w:firstLine="480" w:firstLineChars="200"/>
        <w:rPr>
          <w:rFonts w:hint="eastAsia"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验收监测期间（</w:t>
      </w:r>
      <w:r>
        <w:rPr>
          <w:rFonts w:hint="eastAsia" w:ascii="Times New Roman" w:hAnsi="Times New Roman" w:cs="Times New Roman"/>
          <w:color w:val="auto"/>
          <w:sz w:val="24"/>
          <w:szCs w:val="24"/>
          <w:highlight w:val="none"/>
          <w:lang w:eastAsia="zh-CN"/>
        </w:rPr>
        <w:t>2022年1月11日~1月12日</w:t>
      </w:r>
      <w:r>
        <w:rPr>
          <w:rFonts w:hint="eastAsia" w:ascii="Times New Roman" w:hAnsi="Times New Roman" w:cs="Times New Roman"/>
          <w:color w:val="auto"/>
          <w:sz w:val="24"/>
          <w:szCs w:val="24"/>
          <w:highlight w:val="none"/>
        </w:rPr>
        <w:t>），生</w:t>
      </w:r>
      <w:r>
        <w:rPr>
          <w:rFonts w:hint="eastAsia" w:ascii="Times New Roman" w:hAnsi="Times New Roman" w:cs="Times New Roman"/>
          <w:color w:val="auto"/>
          <w:sz w:val="24"/>
          <w:szCs w:val="24"/>
          <w:highlight w:val="none"/>
          <w:lang w:eastAsia="zh-CN"/>
        </w:rPr>
        <w:t>产</w:t>
      </w:r>
      <w:r>
        <w:rPr>
          <w:rFonts w:hint="eastAsia" w:ascii="Times New Roman" w:hAnsi="Times New Roman" w:cs="Times New Roman"/>
          <w:color w:val="auto"/>
          <w:sz w:val="24"/>
          <w:szCs w:val="24"/>
          <w:highlight w:val="none"/>
        </w:rPr>
        <w:t>废水排口中pH值、悬浮物、化学需氧量、</w:t>
      </w:r>
      <w:r>
        <w:rPr>
          <w:rFonts w:hint="eastAsia" w:ascii="Times New Roman" w:hAnsi="Times New Roman" w:cs="Times New Roman"/>
          <w:color w:val="auto"/>
          <w:sz w:val="24"/>
          <w:szCs w:val="24"/>
          <w:highlight w:val="none"/>
          <w:lang w:eastAsia="zh-CN"/>
        </w:rPr>
        <w:t>石油类</w:t>
      </w:r>
      <w:r>
        <w:rPr>
          <w:rFonts w:hint="eastAsia" w:ascii="Times New Roman" w:hAnsi="Times New Roman" w:cs="Times New Roman"/>
          <w:color w:val="auto"/>
          <w:sz w:val="24"/>
          <w:szCs w:val="24"/>
          <w:highlight w:val="none"/>
        </w:rPr>
        <w:t>排放浓度均符合《污水综合排放标准》（GB 8978-1996）表1中三级标准，其中氨氮</w:t>
      </w:r>
      <w:r>
        <w:rPr>
          <w:rFonts w:hint="eastAsia" w:ascii="Times New Roman" w:hAnsi="Times New Roman" w:cs="Times New Roman"/>
          <w:color w:val="auto"/>
          <w:sz w:val="24"/>
          <w:szCs w:val="24"/>
          <w:highlight w:val="none"/>
          <w:lang w:eastAsia="zh-CN"/>
        </w:rPr>
        <w:t>、总磷</w:t>
      </w:r>
      <w:r>
        <w:rPr>
          <w:rFonts w:hint="eastAsia" w:ascii="Times New Roman" w:hAnsi="Times New Roman" w:cs="Times New Roman"/>
          <w:color w:val="auto"/>
          <w:sz w:val="24"/>
          <w:szCs w:val="24"/>
          <w:highlight w:val="none"/>
        </w:rPr>
        <w:t>排放浓度符合《工业企业废水氮、磷污染物间接排放限值》（DB 33/887-2013）中的标准限值。</w:t>
      </w:r>
    </w:p>
    <w:p>
      <w:pPr>
        <w:spacing w:line="360" w:lineRule="auto"/>
        <w:ind w:firstLine="480" w:firstLineChars="200"/>
        <w:rPr>
          <w:rFonts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验收监测期间（</w:t>
      </w:r>
      <w:r>
        <w:rPr>
          <w:rFonts w:hint="eastAsia" w:ascii="Times New Roman" w:hAnsi="Times New Roman" w:cs="Times New Roman"/>
          <w:color w:val="auto"/>
          <w:sz w:val="24"/>
          <w:szCs w:val="24"/>
          <w:highlight w:val="none"/>
          <w:lang w:eastAsia="zh-CN"/>
        </w:rPr>
        <w:t>2022年1月11日~1月12日</w:t>
      </w:r>
      <w:r>
        <w:rPr>
          <w:rFonts w:hint="eastAsia"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厂区总</w:t>
      </w:r>
      <w:r>
        <w:rPr>
          <w:rFonts w:hint="eastAsia" w:ascii="Times New Roman" w:hAnsi="Times New Roman" w:cs="Times New Roman"/>
          <w:color w:val="auto"/>
          <w:sz w:val="24"/>
          <w:szCs w:val="24"/>
          <w:highlight w:val="none"/>
        </w:rPr>
        <w:t>排口中pH值、悬浮物、化学需氧量、</w:t>
      </w:r>
      <w:r>
        <w:rPr>
          <w:rFonts w:ascii="Times New Roman" w:hAnsi="Times New Roman" w:cs="Times New Roman"/>
          <w:color w:val="auto"/>
          <w:sz w:val="24"/>
          <w:szCs w:val="24"/>
          <w:highlight w:val="none"/>
        </w:rPr>
        <w:t>五日生化需氧量</w:t>
      </w:r>
      <w:r>
        <w:rPr>
          <w:rFonts w:hint="eastAsia" w:ascii="Times New Roman" w:hAnsi="Times New Roman" w:cs="Times New Roman"/>
          <w:color w:val="auto"/>
          <w:sz w:val="24"/>
          <w:szCs w:val="24"/>
          <w:highlight w:val="none"/>
        </w:rPr>
        <w:t>、动植物油类排放浓度均符合《污水综合排放标准》（GB 8978-1996）表1中三级标准，其中氨氮</w:t>
      </w:r>
      <w:r>
        <w:rPr>
          <w:rFonts w:hint="eastAsia" w:ascii="Times New Roman" w:hAnsi="Times New Roman" w:cs="Times New Roman"/>
          <w:color w:val="auto"/>
          <w:sz w:val="24"/>
          <w:szCs w:val="24"/>
          <w:highlight w:val="none"/>
          <w:lang w:eastAsia="zh-CN"/>
        </w:rPr>
        <w:t>、总磷</w:t>
      </w:r>
      <w:r>
        <w:rPr>
          <w:rFonts w:hint="eastAsia" w:ascii="Times New Roman" w:hAnsi="Times New Roman" w:cs="Times New Roman"/>
          <w:color w:val="auto"/>
          <w:sz w:val="24"/>
          <w:szCs w:val="24"/>
          <w:highlight w:val="none"/>
        </w:rPr>
        <w:t>排放浓度符合《工业企业废水氮、磷污染物间接排放限值》（DB 33/887-2013）中的标准限值。</w:t>
      </w:r>
    </w:p>
    <w:p>
      <w:pPr>
        <w:pStyle w:val="39"/>
        <w:snapToGrid w:val="0"/>
        <w:spacing w:before="0" w:line="324" w:lineRule="auto"/>
        <w:ind w:left="420" w:leftChars="200" w:firstLine="0" w:firstLineChars="0"/>
        <w:rPr>
          <w:rFonts w:ascii="Times New Roman" w:hAnsi="Times New Roman" w:cs="Times New Roman" w:eastAsiaTheme="minorEastAsia"/>
          <w:color w:val="auto"/>
          <w:highlight w:val="none"/>
        </w:rPr>
      </w:pPr>
      <w:r>
        <w:rPr>
          <w:rFonts w:ascii="Times New Roman" w:hAnsi="Times New Roman" w:cs="Times New Roman" w:eastAsiaTheme="minorEastAsia"/>
          <w:color w:val="auto"/>
          <w:highlight w:val="none"/>
        </w:rPr>
        <w:t>4、噪声</w:t>
      </w:r>
    </w:p>
    <w:p>
      <w:pPr>
        <w:keepNext w:val="0"/>
        <w:keepLines w:val="0"/>
        <w:pageBreakBefore w:val="0"/>
        <w:widowControl/>
        <w:kinsoku/>
        <w:wordWrap/>
        <w:overflowPunct/>
        <w:topLinePunct w:val="0"/>
        <w:autoSpaceDE/>
        <w:autoSpaceDN/>
        <w:bidi w:val="0"/>
        <w:adjustRightInd/>
        <w:snapToGrid/>
        <w:spacing w:line="360" w:lineRule="auto"/>
        <w:ind w:left="0" w:leftChars="0" w:firstLine="480" w:firstLineChars="200"/>
        <w:jc w:val="left"/>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验收监测期间</w:t>
      </w:r>
      <w:r>
        <w:rPr>
          <w:rFonts w:ascii="Times New Roman" w:hAnsi="Times New Roman" w:cs="Times New Roman"/>
          <w:bCs/>
          <w:color w:val="auto"/>
          <w:sz w:val="24"/>
          <w:szCs w:val="24"/>
          <w:highlight w:val="none"/>
        </w:rPr>
        <w:t>（</w:t>
      </w:r>
      <w:r>
        <w:rPr>
          <w:rFonts w:hint="eastAsia" w:ascii="Times New Roman" w:hAnsi="Times New Roman" w:cs="Times New Roman"/>
          <w:bCs/>
          <w:color w:val="auto"/>
          <w:sz w:val="24"/>
          <w:szCs w:val="24"/>
          <w:highlight w:val="none"/>
          <w:lang w:eastAsia="zh-CN"/>
        </w:rPr>
        <w:t>2022年1月11日~1月12日</w:t>
      </w:r>
      <w:r>
        <w:rPr>
          <w:rFonts w:ascii="Times New Roman" w:hAnsi="Times New Roman" w:cs="Times New Roman"/>
          <w:bCs/>
          <w:color w:val="auto"/>
          <w:sz w:val="24"/>
          <w:szCs w:val="24"/>
          <w:highlight w:val="none"/>
        </w:rPr>
        <w:t>），</w:t>
      </w:r>
      <w:r>
        <w:rPr>
          <w:rFonts w:hint="eastAsia" w:ascii="Times New Roman" w:hAnsi="Times New Roman" w:cs="Times New Roman"/>
          <w:color w:val="auto"/>
          <w:sz w:val="24"/>
          <w:szCs w:val="24"/>
          <w:highlight w:val="none"/>
        </w:rPr>
        <w:t>企业</w:t>
      </w:r>
      <w:r>
        <w:rPr>
          <w:rFonts w:ascii="Times New Roman" w:hAnsi="Times New Roman" w:cs="Times New Roman"/>
          <w:color w:val="auto"/>
          <w:sz w:val="24"/>
          <w:szCs w:val="24"/>
          <w:highlight w:val="none"/>
        </w:rPr>
        <w:t>厂界四周昼</w:t>
      </w:r>
      <w:r>
        <w:rPr>
          <w:rFonts w:hint="eastAsia" w:ascii="Times New Roman" w:hAnsi="Times New Roman" w:cs="Times New Roman"/>
          <w:color w:val="auto"/>
          <w:sz w:val="24"/>
          <w:szCs w:val="24"/>
          <w:highlight w:val="none"/>
          <w:lang w:eastAsia="zh-CN"/>
        </w:rPr>
        <w:t>夜</w:t>
      </w:r>
      <w:r>
        <w:rPr>
          <w:rFonts w:ascii="Times New Roman" w:hAnsi="Times New Roman" w:cs="Times New Roman"/>
          <w:color w:val="auto"/>
          <w:sz w:val="24"/>
          <w:szCs w:val="24"/>
          <w:highlight w:val="none"/>
        </w:rPr>
        <w:t>噪声均符合《工业企业厂界环境噪声排放标准》（GB12348-2008）中的2类标准。</w:t>
      </w:r>
    </w:p>
    <w:p>
      <w:pPr>
        <w:snapToGrid w:val="0"/>
        <w:spacing w:line="324" w:lineRule="auto"/>
        <w:ind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5、固废</w:t>
      </w:r>
    </w:p>
    <w:p>
      <w:pPr>
        <w:widowControl/>
        <w:snapToGrid w:val="0"/>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项目固体废弃物废橡胶、陶瓷、泡沫、废玻璃、引爆后的安全气囊、废燃料油和废气处理产生的废活性炭分类收集后委托宁波隆欣环境科技有限公司处置；废油液、废制冷剂、含汞含铅部件、废电容器、废电路板、废动力蓄电池、废铅酸蓄电池、废机油滤清器、废催化系统、废密封胶、石棉废物、废液化气罐、废油泥、废劳保用品委托宁波市北仑环保固废处置有限公司进行安全处置；生活垃圾委托环卫部门清运。</w:t>
      </w:r>
    </w:p>
    <w:p>
      <w:pPr>
        <w:pStyle w:val="4"/>
        <w:snapToGrid w:val="0"/>
        <w:spacing w:before="0" w:after="0" w:line="360" w:lineRule="auto"/>
        <w:rPr>
          <w:rFonts w:ascii="Times New Roman" w:hAnsi="Times New Roman" w:cs="Times New Roman" w:eastAsiaTheme="minorEastAsia"/>
          <w:color w:val="auto"/>
          <w:sz w:val="24"/>
          <w:szCs w:val="24"/>
          <w:highlight w:val="none"/>
        </w:rPr>
      </w:pPr>
      <w:bookmarkStart w:id="85" w:name="_Toc14124"/>
      <w:r>
        <w:rPr>
          <w:rFonts w:ascii="Times New Roman" w:hAnsi="Times New Roman" w:cs="Times New Roman" w:eastAsiaTheme="minorEastAsia"/>
          <w:color w:val="auto"/>
          <w:sz w:val="24"/>
          <w:szCs w:val="24"/>
          <w:highlight w:val="none"/>
        </w:rPr>
        <w:t>10.2结论</w:t>
      </w:r>
      <w:bookmarkEnd w:id="84"/>
      <w:bookmarkEnd w:id="85"/>
    </w:p>
    <w:p>
      <w:pPr>
        <w:pStyle w:val="17"/>
        <w:snapToGrid w:val="0"/>
        <w:spacing w:line="360" w:lineRule="auto"/>
        <w:ind w:firstLine="480" w:firstLineChars="200"/>
        <w:rPr>
          <w:rFonts w:ascii="Times New Roman" w:hAnsi="Times New Roman" w:cs="Times New Roman"/>
          <w:color w:val="auto"/>
          <w:sz w:val="24"/>
          <w:highlight w:val="none"/>
        </w:rPr>
      </w:pPr>
      <w:r>
        <w:rPr>
          <w:rFonts w:hint="eastAsia" w:ascii="Times New Roman" w:hAnsi="Times New Roman" w:cs="Times New Roman"/>
          <w:color w:val="auto"/>
          <w:kern w:val="0"/>
          <w:sz w:val="24"/>
          <w:szCs w:val="24"/>
          <w:highlight w:val="none"/>
          <w:lang w:bidi="zh-CN"/>
        </w:rPr>
        <w:t>宁波市鄞州勤锦金属回收有限公司年回收拆解3万台报废汽车扩建项目</w:t>
      </w:r>
      <w:r>
        <w:rPr>
          <w:rFonts w:ascii="Times New Roman" w:hAnsi="Times New Roman" w:cs="Times New Roman"/>
          <w:color w:val="auto"/>
          <w:kern w:val="0"/>
          <w:sz w:val="24"/>
          <w:szCs w:val="24"/>
          <w:highlight w:val="none"/>
          <w:lang w:bidi="zh-CN"/>
        </w:rPr>
        <w:t>在建设及运营中，按照建设项目环境保护“三同时”的有关要求，基本落实了环评报告</w:t>
      </w:r>
      <w:r>
        <w:rPr>
          <w:rFonts w:hint="eastAsia" w:ascii="Times New Roman" w:hAnsi="Times New Roman" w:cs="Times New Roman"/>
          <w:color w:val="auto"/>
          <w:kern w:val="0"/>
          <w:sz w:val="24"/>
          <w:szCs w:val="24"/>
          <w:highlight w:val="none"/>
          <w:lang w:bidi="zh-CN"/>
        </w:rPr>
        <w:t>书</w:t>
      </w:r>
      <w:r>
        <w:rPr>
          <w:rFonts w:ascii="Times New Roman" w:hAnsi="Times New Roman" w:cs="Times New Roman"/>
          <w:color w:val="auto"/>
          <w:kern w:val="0"/>
          <w:sz w:val="24"/>
          <w:szCs w:val="24"/>
          <w:highlight w:val="none"/>
          <w:lang w:bidi="zh-CN"/>
        </w:rPr>
        <w:t>和批复意见中要求的环保设施与措施；废气、</w:t>
      </w:r>
      <w:r>
        <w:rPr>
          <w:rFonts w:hint="eastAsia" w:ascii="Times New Roman" w:hAnsi="Times New Roman" w:cs="Times New Roman"/>
          <w:color w:val="auto"/>
          <w:kern w:val="0"/>
          <w:sz w:val="24"/>
          <w:szCs w:val="24"/>
          <w:highlight w:val="none"/>
          <w:lang w:bidi="zh-CN"/>
        </w:rPr>
        <w:t>废水、</w:t>
      </w:r>
      <w:r>
        <w:rPr>
          <w:rFonts w:ascii="Times New Roman" w:hAnsi="Times New Roman" w:cs="Times New Roman"/>
          <w:color w:val="auto"/>
          <w:kern w:val="0"/>
          <w:sz w:val="24"/>
          <w:szCs w:val="24"/>
          <w:highlight w:val="none"/>
          <w:lang w:bidi="zh-CN"/>
        </w:rPr>
        <w:t xml:space="preserve">噪声达标排放，固体废弃物处置等方面基本符合相关要求，总量符合环评批复相关要求，符合建设项目环境保护设施竣工验收条件。 </w:t>
      </w:r>
    </w:p>
    <w:p>
      <w:pPr>
        <w:pStyle w:val="4"/>
        <w:snapToGrid w:val="0"/>
        <w:spacing w:before="0" w:after="0" w:line="360" w:lineRule="auto"/>
        <w:rPr>
          <w:rFonts w:ascii="Times New Roman" w:hAnsi="Times New Roman" w:cs="Times New Roman" w:eastAsiaTheme="minorEastAsia"/>
          <w:color w:val="auto"/>
          <w:sz w:val="24"/>
          <w:szCs w:val="24"/>
          <w:highlight w:val="none"/>
        </w:rPr>
      </w:pPr>
      <w:bookmarkStart w:id="86" w:name="_Toc4258"/>
      <w:r>
        <w:rPr>
          <w:rFonts w:ascii="Times New Roman" w:hAnsi="Times New Roman" w:cs="Times New Roman" w:eastAsiaTheme="minorEastAsia"/>
          <w:color w:val="auto"/>
          <w:sz w:val="24"/>
          <w:szCs w:val="24"/>
          <w:highlight w:val="none"/>
        </w:rPr>
        <w:t>10.3建议</w:t>
      </w:r>
      <w:bookmarkEnd w:id="86"/>
    </w:p>
    <w:p>
      <w:pPr>
        <w:numPr>
          <w:ilvl w:val="0"/>
          <w:numId w:val="11"/>
        </w:numPr>
        <w:snapToGrid w:val="0"/>
        <w:spacing w:line="360" w:lineRule="auto"/>
        <w:ind w:firstLine="480" w:firstLineChars="200"/>
        <w:jc w:val="left"/>
        <w:rPr>
          <w:rFonts w:ascii="Times New Roman" w:hAnsi="Times New Roman" w:cs="Times New Roman"/>
          <w:color w:val="auto"/>
          <w:sz w:val="24"/>
          <w:highlight w:val="none"/>
        </w:rPr>
      </w:pPr>
      <w:r>
        <w:rPr>
          <w:rFonts w:ascii="Times New Roman" w:hAnsi="Times New Roman" w:cs="Times New Roman"/>
          <w:color w:val="auto"/>
          <w:sz w:val="24"/>
          <w:highlight w:val="none"/>
        </w:rPr>
        <w:t>加强废气的收集工作，减少废气对周边环境的影响；</w:t>
      </w:r>
    </w:p>
    <w:p>
      <w:pPr>
        <w:snapToGrid w:val="0"/>
        <w:spacing w:line="360" w:lineRule="auto"/>
        <w:ind w:firstLine="480" w:firstLineChars="200"/>
        <w:rPr>
          <w:rFonts w:ascii="Times New Roman" w:hAnsi="Times New Roman" w:cs="Times New Roman"/>
          <w:color w:val="auto"/>
          <w:sz w:val="24"/>
          <w:highlight w:val="none"/>
        </w:rPr>
        <w:sectPr>
          <w:pgSz w:w="11906" w:h="16838"/>
          <w:pgMar w:top="1440" w:right="1803" w:bottom="1440" w:left="1803" w:header="680" w:footer="992" w:gutter="0"/>
          <w:pgBorders>
            <w:top w:val="none" w:sz="0" w:space="0"/>
            <w:left w:val="none" w:sz="0" w:space="0"/>
            <w:bottom w:val="none" w:sz="0" w:space="0"/>
            <w:right w:val="none" w:sz="0" w:space="0"/>
          </w:pgBorders>
          <w:cols w:space="0" w:num="1"/>
          <w:docGrid w:type="lines" w:linePitch="312" w:charSpace="0"/>
        </w:sectPr>
      </w:pPr>
      <w:r>
        <w:rPr>
          <w:rFonts w:ascii="Times New Roman" w:hAnsi="Times New Roman" w:cs="Times New Roman"/>
          <w:color w:val="auto"/>
          <w:sz w:val="24"/>
          <w:highlight w:val="none"/>
        </w:rPr>
        <w:t>2、建立长效的管理制度，重视环境保护，健全环保制度，加强职工污染事故方面的学习和培训，并组织进行污染事故方面的演练。</w:t>
      </w:r>
    </w:p>
    <w:p>
      <w:pPr>
        <w:pStyle w:val="4"/>
        <w:jc w:val="left"/>
        <w:rPr>
          <w:rFonts w:ascii="Times New Roman" w:hAnsi="Times New Roman" w:cs="Times New Roman"/>
          <w:color w:val="auto"/>
          <w:sz w:val="24"/>
          <w:highlight w:val="none"/>
        </w:rPr>
      </w:pPr>
      <w:bookmarkStart w:id="87" w:name="_Toc31842"/>
      <w:r>
        <w:rPr>
          <w:rFonts w:ascii="Times New Roman" w:hAnsi="Times New Roman" w:cs="Times New Roman" w:eastAsiaTheme="minorEastAsia"/>
          <w:color w:val="auto"/>
          <w:sz w:val="24"/>
          <w:szCs w:val="24"/>
          <w:highlight w:val="none"/>
        </w:rPr>
        <w:t>附件一、环评批复</w:t>
      </w:r>
      <w:r>
        <w:rPr>
          <w:rFonts w:hint="eastAsia"/>
          <w:color w:val="auto"/>
          <w:highlight w:val="none"/>
          <w:lang w:eastAsia="zh-CN"/>
        </w:rPr>
        <w:drawing>
          <wp:inline distT="0" distB="0" distL="114300" distR="114300">
            <wp:extent cx="4735830" cy="8046720"/>
            <wp:effectExtent l="0" t="0" r="7620" b="11430"/>
            <wp:docPr id="1" name="图片 1" descr="1e96edfb8f342ce0496086d63d85d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e96edfb8f342ce0496086d63d85d56"/>
                    <pic:cNvPicPr>
                      <a:picLocks noChangeAspect="1"/>
                    </pic:cNvPicPr>
                  </pic:nvPicPr>
                  <pic:blipFill>
                    <a:blip r:embed="rId18"/>
                    <a:srcRect b="4412"/>
                    <a:stretch>
                      <a:fillRect/>
                    </a:stretch>
                  </pic:blipFill>
                  <pic:spPr>
                    <a:xfrm>
                      <a:off x="0" y="0"/>
                      <a:ext cx="4735830" cy="8046720"/>
                    </a:xfrm>
                    <a:prstGeom prst="rect">
                      <a:avLst/>
                    </a:prstGeom>
                    <a:noFill/>
                    <a:ln>
                      <a:noFill/>
                    </a:ln>
                  </pic:spPr>
                </pic:pic>
              </a:graphicData>
            </a:graphic>
          </wp:inline>
        </w:drawing>
      </w:r>
      <w:r>
        <w:rPr>
          <w:rFonts w:hint="eastAsia"/>
          <w:color w:val="auto"/>
          <w:highlight w:val="none"/>
          <w:lang w:eastAsia="zh-CN"/>
        </w:rPr>
        <w:drawing>
          <wp:inline distT="0" distB="0" distL="114300" distR="114300">
            <wp:extent cx="4780915" cy="8138795"/>
            <wp:effectExtent l="0" t="0" r="635" b="14605"/>
            <wp:docPr id="2" name="图片 2" descr="885b70c37ff3bf1b7fca92b04a0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885b70c37ff3bf1b7fca92b04a01748"/>
                    <pic:cNvPicPr>
                      <a:picLocks noChangeAspect="1"/>
                    </pic:cNvPicPr>
                  </pic:nvPicPr>
                  <pic:blipFill>
                    <a:blip r:embed="rId19"/>
                    <a:srcRect b="4258"/>
                    <a:stretch>
                      <a:fillRect/>
                    </a:stretch>
                  </pic:blipFill>
                  <pic:spPr>
                    <a:xfrm>
                      <a:off x="0" y="0"/>
                      <a:ext cx="4780915" cy="8138795"/>
                    </a:xfrm>
                    <a:prstGeom prst="rect">
                      <a:avLst/>
                    </a:prstGeom>
                    <a:noFill/>
                    <a:ln>
                      <a:noFill/>
                    </a:ln>
                  </pic:spPr>
                </pic:pic>
              </a:graphicData>
            </a:graphic>
          </wp:inline>
        </w:drawing>
      </w:r>
      <w:r>
        <w:rPr>
          <w:rFonts w:hint="eastAsia"/>
          <w:color w:val="auto"/>
          <w:highlight w:val="none"/>
          <w:lang w:eastAsia="zh-CN"/>
        </w:rPr>
        <w:drawing>
          <wp:inline distT="0" distB="0" distL="114300" distR="114300">
            <wp:extent cx="4747260" cy="7993380"/>
            <wp:effectExtent l="0" t="0" r="15240" b="7620"/>
            <wp:docPr id="3" name="图片 3" descr="00a5cf2e3186e335cc3c2f6cb5bf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00a5cf2e3186e335cc3c2f6cb5bf918"/>
                    <pic:cNvPicPr>
                      <a:picLocks noChangeAspect="1"/>
                    </pic:cNvPicPr>
                  </pic:nvPicPr>
                  <pic:blipFill>
                    <a:blip r:embed="rId20"/>
                    <a:srcRect b="5304"/>
                    <a:stretch>
                      <a:fillRect/>
                    </a:stretch>
                  </pic:blipFill>
                  <pic:spPr>
                    <a:xfrm>
                      <a:off x="0" y="0"/>
                      <a:ext cx="4747260" cy="7993380"/>
                    </a:xfrm>
                    <a:prstGeom prst="rect">
                      <a:avLst/>
                    </a:prstGeom>
                    <a:noFill/>
                    <a:ln>
                      <a:noFill/>
                    </a:ln>
                  </pic:spPr>
                </pic:pic>
              </a:graphicData>
            </a:graphic>
          </wp:inline>
        </w:drawing>
      </w:r>
      <w:r>
        <w:rPr>
          <w:rFonts w:hint="eastAsia"/>
          <w:color w:val="auto"/>
          <w:highlight w:val="none"/>
          <w:lang w:eastAsia="zh-CN"/>
        </w:rPr>
        <w:drawing>
          <wp:inline distT="0" distB="0" distL="114300" distR="114300">
            <wp:extent cx="4892675" cy="8422640"/>
            <wp:effectExtent l="0" t="0" r="3175" b="16510"/>
            <wp:docPr id="7" name="图片 7" descr="8056782f9bb516efbdd0ac85caee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8056782f9bb516efbdd0ac85caee005"/>
                    <pic:cNvPicPr>
                      <a:picLocks noChangeAspect="1"/>
                    </pic:cNvPicPr>
                  </pic:nvPicPr>
                  <pic:blipFill>
                    <a:blip r:embed="rId21"/>
                    <a:srcRect t="2409" b="766"/>
                    <a:stretch>
                      <a:fillRect/>
                    </a:stretch>
                  </pic:blipFill>
                  <pic:spPr>
                    <a:xfrm>
                      <a:off x="0" y="0"/>
                      <a:ext cx="4892675" cy="8422640"/>
                    </a:xfrm>
                    <a:prstGeom prst="rect">
                      <a:avLst/>
                    </a:prstGeom>
                    <a:noFill/>
                    <a:ln>
                      <a:noFill/>
                    </a:ln>
                  </pic:spPr>
                </pic:pic>
              </a:graphicData>
            </a:graphic>
          </wp:inline>
        </w:drawing>
      </w:r>
      <w:bookmarkEnd w:id="87"/>
    </w:p>
    <w:p>
      <w:pPr>
        <w:pStyle w:val="4"/>
        <w:rPr>
          <w:rFonts w:ascii="Times New Roman" w:hAnsi="Times New Roman" w:cs="Times New Roman" w:eastAsiaTheme="minorEastAsia"/>
          <w:color w:val="auto"/>
          <w:sz w:val="24"/>
          <w:szCs w:val="24"/>
          <w:highlight w:val="none"/>
        </w:rPr>
      </w:pPr>
      <w:bookmarkStart w:id="88" w:name="_Toc13356"/>
      <w:r>
        <w:rPr>
          <w:rFonts w:ascii="Times New Roman" w:hAnsi="Times New Roman" w:cs="Times New Roman" w:eastAsiaTheme="minorEastAsia"/>
          <w:color w:val="auto"/>
          <w:sz w:val="24"/>
          <w:szCs w:val="24"/>
          <w:highlight w:val="none"/>
        </w:rPr>
        <w:t>附件二、</w:t>
      </w:r>
      <w:r>
        <w:rPr>
          <w:rFonts w:hint="eastAsia" w:ascii="Times New Roman" w:hAnsi="Times New Roman" w:cs="Times New Roman" w:eastAsiaTheme="minorEastAsia"/>
          <w:color w:val="auto"/>
          <w:sz w:val="24"/>
          <w:szCs w:val="24"/>
          <w:highlight w:val="none"/>
        </w:rPr>
        <w:t>工况</w:t>
      </w:r>
      <w:bookmarkEnd w:id="88"/>
    </w:p>
    <w:p>
      <w:pPr>
        <w:pStyle w:val="4"/>
        <w:rPr>
          <w:rFonts w:hint="eastAsia" w:ascii="Times New Roman" w:hAnsi="Times New Roman" w:cs="Times New Roman" w:eastAsiaTheme="minorEastAsia"/>
          <w:color w:val="auto"/>
          <w:sz w:val="24"/>
          <w:szCs w:val="24"/>
          <w:highlight w:val="none"/>
          <w:lang w:eastAsia="zh-CN"/>
        </w:rPr>
        <w:sectPr>
          <w:pgSz w:w="11906" w:h="16838"/>
          <w:pgMar w:top="1440" w:right="1803" w:bottom="1440" w:left="1803" w:header="680" w:footer="992" w:gutter="0"/>
          <w:pgBorders>
            <w:top w:val="none" w:sz="0" w:space="0"/>
            <w:left w:val="none" w:sz="0" w:space="0"/>
            <w:bottom w:val="none" w:sz="0" w:space="0"/>
            <w:right w:val="none" w:sz="0" w:space="0"/>
          </w:pgBorders>
          <w:cols w:space="0" w:num="1"/>
          <w:docGrid w:type="lines" w:linePitch="312" w:charSpace="0"/>
        </w:sectPr>
      </w:pPr>
      <w:bookmarkStart w:id="89" w:name="_Toc20039"/>
      <w:bookmarkStart w:id="90" w:name="_Toc30708"/>
      <w:bookmarkStart w:id="91" w:name="_Toc12641"/>
      <w:r>
        <w:rPr>
          <w:rFonts w:hint="eastAsia" w:ascii="Times New Roman" w:hAnsi="Times New Roman" w:cs="Times New Roman" w:eastAsiaTheme="minorEastAsia"/>
          <w:color w:val="auto"/>
          <w:sz w:val="24"/>
          <w:szCs w:val="24"/>
          <w:highlight w:val="none"/>
          <w:lang w:eastAsia="zh-CN"/>
        </w:rPr>
        <w:drawing>
          <wp:inline distT="0" distB="0" distL="114300" distR="114300">
            <wp:extent cx="4622800" cy="8218170"/>
            <wp:effectExtent l="0" t="0" r="6350" b="11430"/>
            <wp:docPr id="15" name="图片 15" descr="cdd5d672800fad5c6191eb253b295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dd5d672800fad5c6191eb253b2953d"/>
                    <pic:cNvPicPr>
                      <a:picLocks noChangeAspect="1"/>
                    </pic:cNvPicPr>
                  </pic:nvPicPr>
                  <pic:blipFill>
                    <a:blip r:embed="rId22"/>
                    <a:stretch>
                      <a:fillRect/>
                    </a:stretch>
                  </pic:blipFill>
                  <pic:spPr>
                    <a:xfrm>
                      <a:off x="0" y="0"/>
                      <a:ext cx="4622800" cy="8218170"/>
                    </a:xfrm>
                    <a:prstGeom prst="rect">
                      <a:avLst/>
                    </a:prstGeom>
                  </pic:spPr>
                </pic:pic>
              </a:graphicData>
            </a:graphic>
          </wp:inline>
        </w:drawing>
      </w:r>
      <w:bookmarkEnd w:id="89"/>
      <w:bookmarkEnd w:id="90"/>
      <w:bookmarkEnd w:id="91"/>
    </w:p>
    <w:p>
      <w:pPr>
        <w:pStyle w:val="4"/>
        <w:rPr>
          <w:rFonts w:ascii="Times New Roman" w:hAnsi="Times New Roman" w:cs="Times New Roman" w:eastAsiaTheme="minorEastAsia"/>
          <w:color w:val="auto"/>
          <w:sz w:val="24"/>
          <w:szCs w:val="24"/>
          <w:highlight w:val="none"/>
        </w:rPr>
      </w:pPr>
      <w:bookmarkStart w:id="92" w:name="_Toc19191"/>
      <w:r>
        <w:rPr>
          <w:rFonts w:ascii="Times New Roman" w:hAnsi="Times New Roman" w:cs="Times New Roman" w:eastAsiaTheme="minorEastAsia"/>
          <w:color w:val="auto"/>
          <w:sz w:val="24"/>
          <w:szCs w:val="24"/>
          <w:highlight w:val="none"/>
        </w:rPr>
        <w:t>附件</w:t>
      </w:r>
      <w:r>
        <w:rPr>
          <w:rFonts w:hint="eastAsia" w:ascii="Times New Roman" w:hAnsi="Times New Roman" w:cs="Times New Roman" w:eastAsiaTheme="minorEastAsia"/>
          <w:color w:val="auto"/>
          <w:sz w:val="24"/>
          <w:szCs w:val="24"/>
          <w:highlight w:val="none"/>
        </w:rPr>
        <w:t>三</w:t>
      </w:r>
      <w:r>
        <w:rPr>
          <w:rFonts w:ascii="Times New Roman" w:hAnsi="Times New Roman" w:cs="Times New Roman" w:eastAsiaTheme="minorEastAsia"/>
          <w:color w:val="auto"/>
          <w:sz w:val="24"/>
          <w:szCs w:val="24"/>
          <w:highlight w:val="none"/>
        </w:rPr>
        <w:t>、项目设备及原辅材料清单</w:t>
      </w:r>
      <w:bookmarkEnd w:id="92"/>
    </w:p>
    <w:p>
      <w:pPr>
        <w:rPr>
          <w:rFonts w:hint="eastAsia" w:eastAsiaTheme="minorEastAsia"/>
          <w:lang w:eastAsia="zh-CN"/>
        </w:rPr>
      </w:pPr>
      <w:r>
        <w:rPr>
          <w:rFonts w:hint="eastAsia" w:eastAsiaTheme="minorEastAsia"/>
          <w:lang w:eastAsia="zh-CN"/>
        </w:rPr>
        <w:drawing>
          <wp:inline distT="0" distB="0" distL="114300" distR="114300">
            <wp:extent cx="4637405" cy="8242935"/>
            <wp:effectExtent l="0" t="0" r="10795" b="5715"/>
            <wp:docPr id="16" name="图片 16" descr="59943e65a4a2fff4409f6739fd78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59943e65a4a2fff4409f6739fd78d40"/>
                    <pic:cNvPicPr>
                      <a:picLocks noChangeAspect="1"/>
                    </pic:cNvPicPr>
                  </pic:nvPicPr>
                  <pic:blipFill>
                    <a:blip r:embed="rId23"/>
                    <a:stretch>
                      <a:fillRect/>
                    </a:stretch>
                  </pic:blipFill>
                  <pic:spPr>
                    <a:xfrm>
                      <a:off x="0" y="0"/>
                      <a:ext cx="4637405" cy="8242935"/>
                    </a:xfrm>
                    <a:prstGeom prst="rect">
                      <a:avLst/>
                    </a:prstGeom>
                  </pic:spPr>
                </pic:pic>
              </a:graphicData>
            </a:graphic>
          </wp:inline>
        </w:drawing>
      </w:r>
    </w:p>
    <w:p>
      <w:pPr>
        <w:rPr>
          <w:rFonts w:hint="eastAsia" w:ascii="Times New Roman" w:hAnsi="Times New Roman" w:cs="Times New Roman" w:eastAsiaTheme="minorEastAsia"/>
          <w:color w:val="auto"/>
          <w:sz w:val="24"/>
          <w:szCs w:val="24"/>
          <w:highlight w:val="none"/>
          <w:lang w:eastAsia="zh-CN"/>
        </w:rPr>
      </w:pPr>
      <w:r>
        <w:rPr>
          <w:rFonts w:hint="eastAsia" w:ascii="Times New Roman" w:hAnsi="Times New Roman" w:cs="Times New Roman" w:eastAsiaTheme="minorEastAsia"/>
          <w:color w:val="auto"/>
          <w:sz w:val="24"/>
          <w:szCs w:val="24"/>
          <w:highlight w:val="none"/>
          <w:lang w:eastAsia="zh-CN"/>
        </w:rPr>
        <w:drawing>
          <wp:inline distT="0" distB="0" distL="114300" distR="114300">
            <wp:extent cx="4999355" cy="8888095"/>
            <wp:effectExtent l="0" t="0" r="10795" b="8255"/>
            <wp:docPr id="17" name="图片 17" descr="8495d24f66df24774683e508b118c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8495d24f66df24774683e508b118c81"/>
                    <pic:cNvPicPr>
                      <a:picLocks noChangeAspect="1"/>
                    </pic:cNvPicPr>
                  </pic:nvPicPr>
                  <pic:blipFill>
                    <a:blip r:embed="rId24"/>
                    <a:stretch>
                      <a:fillRect/>
                    </a:stretch>
                  </pic:blipFill>
                  <pic:spPr>
                    <a:xfrm>
                      <a:off x="0" y="0"/>
                      <a:ext cx="4999355" cy="8888095"/>
                    </a:xfrm>
                    <a:prstGeom prst="rect">
                      <a:avLst/>
                    </a:prstGeom>
                  </pic:spPr>
                </pic:pic>
              </a:graphicData>
            </a:graphic>
          </wp:inline>
        </w:drawing>
      </w:r>
    </w:p>
    <w:p>
      <w:pPr>
        <w:pStyle w:val="4"/>
        <w:rPr>
          <w:rFonts w:ascii="Times New Roman" w:hAnsi="Times New Roman" w:cs="Times New Roman" w:eastAsiaTheme="minorEastAsia"/>
          <w:color w:val="auto"/>
          <w:sz w:val="24"/>
          <w:szCs w:val="24"/>
          <w:highlight w:val="none"/>
        </w:rPr>
      </w:pPr>
      <w:bookmarkStart w:id="93" w:name="_Toc3522"/>
      <w:r>
        <w:rPr>
          <w:rFonts w:ascii="Times New Roman" w:hAnsi="Times New Roman" w:cs="Times New Roman" w:eastAsiaTheme="minorEastAsia"/>
          <w:color w:val="auto"/>
          <w:sz w:val="24"/>
          <w:szCs w:val="24"/>
          <w:highlight w:val="none"/>
        </w:rPr>
        <w:t>附件</w:t>
      </w:r>
      <w:r>
        <w:rPr>
          <w:rFonts w:hint="eastAsia" w:ascii="Times New Roman" w:hAnsi="Times New Roman" w:cs="Times New Roman" w:eastAsiaTheme="minorEastAsia"/>
          <w:color w:val="auto"/>
          <w:sz w:val="24"/>
          <w:szCs w:val="24"/>
          <w:highlight w:val="none"/>
        </w:rPr>
        <w:t>四</w:t>
      </w:r>
      <w:r>
        <w:rPr>
          <w:rFonts w:ascii="Times New Roman" w:hAnsi="Times New Roman" w:cs="Times New Roman" w:eastAsiaTheme="minorEastAsia"/>
          <w:color w:val="auto"/>
          <w:sz w:val="24"/>
          <w:szCs w:val="24"/>
          <w:highlight w:val="none"/>
        </w:rPr>
        <w:t>、</w:t>
      </w:r>
      <w:r>
        <w:rPr>
          <w:rFonts w:hint="eastAsia" w:ascii="Times New Roman" w:hAnsi="Times New Roman" w:cs="Times New Roman" w:eastAsiaTheme="minorEastAsia"/>
          <w:color w:val="auto"/>
          <w:sz w:val="24"/>
          <w:szCs w:val="24"/>
          <w:highlight w:val="none"/>
        </w:rPr>
        <w:t>危废协议</w:t>
      </w:r>
      <w:bookmarkEnd w:id="93"/>
    </w:p>
    <w:p>
      <w:pPr>
        <w:rPr>
          <w:rFonts w:hint="eastAsia" w:eastAsia="宋体"/>
          <w:color w:val="auto"/>
          <w:highlight w:val="none"/>
          <w:lang w:eastAsia="zh-CN"/>
        </w:rPr>
        <w:sectPr>
          <w:headerReference r:id="rId8" w:type="default"/>
          <w:footerReference r:id="rId9" w:type="default"/>
          <w:pgSz w:w="11906" w:h="16838"/>
          <w:pgMar w:top="1418" w:right="1418" w:bottom="1418" w:left="1418" w:header="851" w:footer="992" w:gutter="0"/>
          <w:pgBorders>
            <w:top w:val="none" w:sz="0" w:space="0"/>
            <w:left w:val="none" w:sz="0" w:space="0"/>
            <w:bottom w:val="none" w:sz="0" w:space="0"/>
            <w:right w:val="none" w:sz="0" w:space="0"/>
          </w:pgBorders>
          <w:pgNumType w:fmt="decimal"/>
          <w:cols w:space="720" w:num="1"/>
          <w:docGrid w:linePitch="326" w:charSpace="0"/>
        </w:sectPr>
      </w:pPr>
      <w:r>
        <w:rPr>
          <w:color w:val="auto"/>
          <w:highlight w:val="none"/>
        </w:rPr>
        <w:drawing>
          <wp:inline distT="0" distB="0" distL="114300" distR="114300">
            <wp:extent cx="5111750" cy="6901180"/>
            <wp:effectExtent l="0" t="0" r="12700" b="13970"/>
            <wp:docPr id="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pic:cNvPicPr>
                  </pic:nvPicPr>
                  <pic:blipFill>
                    <a:blip r:embed="rId25"/>
                    <a:stretch>
                      <a:fillRect/>
                    </a:stretch>
                  </pic:blipFill>
                  <pic:spPr>
                    <a:xfrm>
                      <a:off x="0" y="0"/>
                      <a:ext cx="5111750" cy="6901180"/>
                    </a:xfrm>
                    <a:prstGeom prst="rect">
                      <a:avLst/>
                    </a:prstGeom>
                    <a:noFill/>
                    <a:ln>
                      <a:noFill/>
                    </a:ln>
                  </pic:spPr>
                </pic:pic>
              </a:graphicData>
            </a:graphic>
          </wp:inline>
        </w:drawing>
      </w:r>
      <w:r>
        <w:rPr>
          <w:color w:val="auto"/>
          <w:highlight w:val="none"/>
        </w:rPr>
        <w:drawing>
          <wp:inline distT="0" distB="0" distL="114300" distR="114300">
            <wp:extent cx="5080000" cy="6887845"/>
            <wp:effectExtent l="0" t="0" r="6350" b="8255"/>
            <wp:docPr id="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pic:cNvPicPr>
                      <a:picLocks noChangeAspect="1"/>
                    </pic:cNvPicPr>
                  </pic:nvPicPr>
                  <pic:blipFill>
                    <a:blip r:embed="rId26"/>
                    <a:stretch>
                      <a:fillRect/>
                    </a:stretch>
                  </pic:blipFill>
                  <pic:spPr>
                    <a:xfrm>
                      <a:off x="0" y="0"/>
                      <a:ext cx="5080000" cy="6887845"/>
                    </a:xfrm>
                    <a:prstGeom prst="rect">
                      <a:avLst/>
                    </a:prstGeom>
                    <a:noFill/>
                    <a:ln>
                      <a:noFill/>
                    </a:ln>
                  </pic:spPr>
                </pic:pic>
              </a:graphicData>
            </a:graphic>
          </wp:inline>
        </w:drawing>
      </w:r>
      <w:r>
        <w:rPr>
          <w:color w:val="auto"/>
          <w:highlight w:val="none"/>
        </w:rPr>
        <w:drawing>
          <wp:inline distT="0" distB="0" distL="114300" distR="114300">
            <wp:extent cx="4657725" cy="6457950"/>
            <wp:effectExtent l="0" t="0" r="9525"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27"/>
                    <a:stretch>
                      <a:fillRect/>
                    </a:stretch>
                  </pic:blipFill>
                  <pic:spPr>
                    <a:xfrm>
                      <a:off x="0" y="0"/>
                      <a:ext cx="4657725" cy="6457950"/>
                    </a:xfrm>
                    <a:prstGeom prst="rect">
                      <a:avLst/>
                    </a:prstGeom>
                    <a:noFill/>
                    <a:ln>
                      <a:noFill/>
                    </a:ln>
                  </pic:spPr>
                </pic:pic>
              </a:graphicData>
            </a:graphic>
          </wp:inline>
        </w:drawing>
      </w:r>
      <w:r>
        <w:rPr>
          <w:color w:val="auto"/>
          <w:highlight w:val="none"/>
        </w:rPr>
        <w:drawing>
          <wp:inline distT="0" distB="0" distL="114300" distR="114300">
            <wp:extent cx="4505325" cy="6486525"/>
            <wp:effectExtent l="0" t="0" r="9525" b="952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28"/>
                    <a:stretch>
                      <a:fillRect/>
                    </a:stretch>
                  </pic:blipFill>
                  <pic:spPr>
                    <a:xfrm>
                      <a:off x="0" y="0"/>
                      <a:ext cx="4505325" cy="6486525"/>
                    </a:xfrm>
                    <a:prstGeom prst="rect">
                      <a:avLst/>
                    </a:prstGeom>
                    <a:noFill/>
                    <a:ln>
                      <a:noFill/>
                    </a:ln>
                  </pic:spPr>
                </pic:pic>
              </a:graphicData>
            </a:graphic>
          </wp:inline>
        </w:drawing>
      </w:r>
      <w:r>
        <w:rPr>
          <w:color w:val="auto"/>
          <w:highlight w:val="none"/>
        </w:rPr>
        <w:drawing>
          <wp:inline distT="0" distB="0" distL="114300" distR="114300">
            <wp:extent cx="4352925" cy="6772275"/>
            <wp:effectExtent l="0" t="0" r="9525" b="9525"/>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29"/>
                    <a:stretch>
                      <a:fillRect/>
                    </a:stretch>
                  </pic:blipFill>
                  <pic:spPr>
                    <a:xfrm>
                      <a:off x="0" y="0"/>
                      <a:ext cx="4352925" cy="6772275"/>
                    </a:xfrm>
                    <a:prstGeom prst="rect">
                      <a:avLst/>
                    </a:prstGeom>
                    <a:noFill/>
                    <a:ln>
                      <a:noFill/>
                    </a:ln>
                  </pic:spPr>
                </pic:pic>
              </a:graphicData>
            </a:graphic>
          </wp:inline>
        </w:drawing>
      </w:r>
    </w:p>
    <w:p>
      <w:pPr>
        <w:rPr>
          <w:rFonts w:ascii="Times New Roman" w:hAnsi="Times New Roman" w:cs="Times New Roman"/>
          <w:color w:val="auto"/>
          <w:highlight w:val="none"/>
        </w:rPr>
      </w:pPr>
      <w:r>
        <w:rPr>
          <w:color w:val="auto"/>
          <w:highlight w:val="none"/>
        </w:rPr>
        <w:drawing>
          <wp:inline distT="0" distB="0" distL="114300" distR="114300">
            <wp:extent cx="5078730" cy="7233920"/>
            <wp:effectExtent l="0" t="0" r="7620" b="5080"/>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30"/>
                    <a:srcRect r="3615"/>
                    <a:stretch>
                      <a:fillRect/>
                    </a:stretch>
                  </pic:blipFill>
                  <pic:spPr>
                    <a:xfrm rot="10800000">
                      <a:off x="0" y="0"/>
                      <a:ext cx="5078730" cy="7233920"/>
                    </a:xfrm>
                    <a:prstGeom prst="rect">
                      <a:avLst/>
                    </a:prstGeom>
                    <a:noFill/>
                    <a:ln>
                      <a:noFill/>
                    </a:ln>
                  </pic:spPr>
                </pic:pic>
              </a:graphicData>
            </a:graphic>
          </wp:inline>
        </w:drawing>
      </w:r>
    </w:p>
    <w:p>
      <w:pPr>
        <w:rPr>
          <w:rFonts w:hint="eastAsia" w:ascii="Times New Roman" w:hAnsi="Times New Roman" w:cs="Times New Roman" w:eastAsiaTheme="minorEastAsia"/>
          <w:color w:val="auto"/>
          <w:sz w:val="24"/>
          <w:szCs w:val="24"/>
          <w:highlight w:val="none"/>
          <w:lang w:eastAsia="zh-CN"/>
        </w:rPr>
      </w:pPr>
      <w:r>
        <w:rPr>
          <w:rFonts w:ascii="Times New Roman" w:hAnsi="Times New Roman" w:cs="Times New Roman" w:eastAsiaTheme="minorEastAsia"/>
          <w:color w:val="auto"/>
          <w:sz w:val="24"/>
          <w:szCs w:val="24"/>
          <w:highlight w:val="none"/>
        </w:rPr>
        <w:br w:type="page"/>
      </w:r>
      <w:r>
        <w:rPr>
          <w:rFonts w:hint="eastAsia" w:ascii="Times New Roman" w:hAnsi="Times New Roman" w:cs="Times New Roman" w:eastAsiaTheme="minorEastAsia"/>
          <w:color w:val="auto"/>
          <w:sz w:val="24"/>
          <w:szCs w:val="24"/>
          <w:highlight w:val="none"/>
          <w:lang w:eastAsia="zh-CN"/>
        </w:rPr>
        <w:drawing>
          <wp:inline distT="0" distB="0" distL="114300" distR="114300">
            <wp:extent cx="4982210" cy="8853170"/>
            <wp:effectExtent l="0" t="0" r="8890" b="5080"/>
            <wp:docPr id="39" name="图片 39" descr="b287f9dbf8b81566cdb1fdd978c9a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b287f9dbf8b81566cdb1fdd978c9aaf"/>
                    <pic:cNvPicPr>
                      <a:picLocks noChangeAspect="1"/>
                    </pic:cNvPicPr>
                  </pic:nvPicPr>
                  <pic:blipFill>
                    <a:blip r:embed="rId31"/>
                    <a:stretch>
                      <a:fillRect/>
                    </a:stretch>
                  </pic:blipFill>
                  <pic:spPr>
                    <a:xfrm>
                      <a:off x="0" y="0"/>
                      <a:ext cx="4982210" cy="8853170"/>
                    </a:xfrm>
                    <a:prstGeom prst="rect">
                      <a:avLst/>
                    </a:prstGeom>
                  </pic:spPr>
                </pic:pic>
              </a:graphicData>
            </a:graphic>
          </wp:inline>
        </w:drawing>
      </w:r>
    </w:p>
    <w:p>
      <w:pPr>
        <w:pStyle w:val="4"/>
        <w:rPr>
          <w:rFonts w:hint="eastAsia" w:ascii="Times New Roman" w:hAnsi="Times New Roman" w:cs="Times New Roman" w:eastAsiaTheme="minorEastAsia"/>
          <w:b/>
          <w:bCs/>
          <w:color w:val="auto"/>
          <w:kern w:val="2"/>
          <w:sz w:val="24"/>
          <w:szCs w:val="24"/>
          <w:highlight w:val="none"/>
          <w:lang w:val="en-US" w:eastAsia="zh-CN" w:bidi="ar-SA"/>
        </w:rPr>
      </w:pPr>
      <w:bookmarkStart w:id="94" w:name="_Toc3376"/>
      <w:r>
        <w:rPr>
          <w:rFonts w:ascii="Times New Roman" w:hAnsi="Times New Roman" w:cs="Times New Roman" w:eastAsiaTheme="minorEastAsia"/>
          <w:color w:val="auto"/>
          <w:sz w:val="24"/>
          <w:szCs w:val="24"/>
          <w:highlight w:val="none"/>
        </w:rPr>
        <w:t>附件</w:t>
      </w:r>
      <w:r>
        <w:rPr>
          <w:rFonts w:hint="eastAsia" w:ascii="Times New Roman" w:hAnsi="Times New Roman" w:cs="Times New Roman" w:eastAsiaTheme="minorEastAsia"/>
          <w:color w:val="auto"/>
          <w:sz w:val="24"/>
          <w:szCs w:val="24"/>
          <w:highlight w:val="none"/>
        </w:rPr>
        <w:t>五</w:t>
      </w:r>
      <w:r>
        <w:rPr>
          <w:rFonts w:ascii="Times New Roman" w:hAnsi="Times New Roman" w:cs="Times New Roman" w:eastAsiaTheme="minorEastAsia"/>
          <w:color w:val="auto"/>
          <w:sz w:val="24"/>
          <w:szCs w:val="24"/>
          <w:highlight w:val="none"/>
        </w:rPr>
        <w:t>、</w:t>
      </w:r>
      <w:r>
        <w:rPr>
          <w:rFonts w:hint="eastAsia" w:ascii="Times New Roman" w:hAnsi="Times New Roman" w:cs="Times New Roman" w:eastAsiaTheme="minorEastAsia"/>
          <w:color w:val="auto"/>
          <w:sz w:val="24"/>
          <w:szCs w:val="24"/>
          <w:highlight w:val="none"/>
        </w:rPr>
        <w:t>检测报告（</w:t>
      </w:r>
      <w:r>
        <w:rPr>
          <w:rFonts w:hint="eastAsia" w:ascii="Times New Roman" w:hAnsi="Times New Roman" w:cs="Times New Roman" w:eastAsiaTheme="minorEastAsia"/>
          <w:color w:val="auto"/>
          <w:sz w:val="24"/>
          <w:szCs w:val="24"/>
          <w:highlight w:val="none"/>
          <w:lang w:eastAsia="zh-CN"/>
        </w:rPr>
        <w:t>HJ220125</w:t>
      </w:r>
      <w:r>
        <w:rPr>
          <w:rFonts w:hint="eastAsia" w:ascii="Times New Roman" w:hAnsi="Times New Roman" w:cs="Times New Roman" w:eastAsiaTheme="minorEastAsia"/>
          <w:color w:val="auto"/>
          <w:sz w:val="24"/>
          <w:szCs w:val="24"/>
          <w:highlight w:val="none"/>
        </w:rPr>
        <w:t>）</w:t>
      </w:r>
      <w:r>
        <w:rPr>
          <w:rFonts w:hint="eastAsia" w:ascii="Times New Roman" w:hAnsi="Times New Roman" w:cs="Times New Roman" w:eastAsiaTheme="minorEastAsia"/>
          <w:b/>
          <w:bCs/>
          <w:color w:val="auto"/>
          <w:kern w:val="2"/>
          <w:sz w:val="24"/>
          <w:szCs w:val="24"/>
          <w:highlight w:val="none"/>
          <w:lang w:val="en-US" w:eastAsia="zh-CN" w:bidi="ar-SA"/>
        </w:rPr>
        <w:t>、（HJ220486）</w:t>
      </w:r>
      <w:bookmarkEnd w:id="94"/>
    </w:p>
    <w:p>
      <w:pPr>
        <w:pStyle w:val="2"/>
        <w:rPr>
          <w:rFonts w:hint="eastAsia"/>
          <w:lang w:val="en-US" w:eastAsia="zh-CN"/>
        </w:rPr>
        <w:sectPr>
          <w:pgSz w:w="11906" w:h="16838"/>
          <w:pgMar w:top="1440" w:right="1803" w:bottom="1440" w:left="1803" w:header="680" w:footer="992" w:gutter="0"/>
          <w:pgBorders>
            <w:top w:val="none" w:sz="0" w:space="0"/>
            <w:left w:val="none" w:sz="0" w:space="0"/>
            <w:bottom w:val="none" w:sz="0" w:space="0"/>
            <w:right w:val="none" w:sz="0" w:space="0"/>
          </w:pgBorders>
          <w:cols w:space="0" w:num="1"/>
          <w:docGrid w:type="lines" w:linePitch="312" w:charSpace="0"/>
        </w:sectPr>
      </w:pPr>
      <w:r>
        <w:drawing>
          <wp:inline distT="0" distB="0" distL="114300" distR="114300">
            <wp:extent cx="4914900" cy="6829425"/>
            <wp:effectExtent l="0" t="0" r="0" b="9525"/>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32"/>
                    <a:stretch>
                      <a:fillRect/>
                    </a:stretch>
                  </pic:blipFill>
                  <pic:spPr>
                    <a:xfrm>
                      <a:off x="0" y="0"/>
                      <a:ext cx="4914900" cy="6829425"/>
                    </a:xfrm>
                    <a:prstGeom prst="rect">
                      <a:avLst/>
                    </a:prstGeom>
                    <a:noFill/>
                    <a:ln>
                      <a:noFill/>
                    </a:ln>
                  </pic:spPr>
                </pic:pic>
              </a:graphicData>
            </a:graphic>
          </wp:inline>
        </w:drawing>
      </w:r>
      <w:r>
        <w:drawing>
          <wp:inline distT="0" distB="0" distL="114300" distR="114300">
            <wp:extent cx="4895850" cy="6981825"/>
            <wp:effectExtent l="0" t="0" r="0" b="9525"/>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33"/>
                    <a:stretch>
                      <a:fillRect/>
                    </a:stretch>
                  </pic:blipFill>
                  <pic:spPr>
                    <a:xfrm>
                      <a:off x="0" y="0"/>
                      <a:ext cx="4895850" cy="6981825"/>
                    </a:xfrm>
                    <a:prstGeom prst="rect">
                      <a:avLst/>
                    </a:prstGeom>
                    <a:noFill/>
                    <a:ln>
                      <a:noFill/>
                    </a:ln>
                  </pic:spPr>
                </pic:pic>
              </a:graphicData>
            </a:graphic>
          </wp:inline>
        </w:drawing>
      </w:r>
      <w:r>
        <w:drawing>
          <wp:inline distT="0" distB="0" distL="114300" distR="114300">
            <wp:extent cx="4953000" cy="6981825"/>
            <wp:effectExtent l="0" t="0" r="0" b="9525"/>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34"/>
                    <a:stretch>
                      <a:fillRect/>
                    </a:stretch>
                  </pic:blipFill>
                  <pic:spPr>
                    <a:xfrm>
                      <a:off x="0" y="0"/>
                      <a:ext cx="4953000" cy="6981825"/>
                    </a:xfrm>
                    <a:prstGeom prst="rect">
                      <a:avLst/>
                    </a:prstGeom>
                    <a:noFill/>
                    <a:ln>
                      <a:noFill/>
                    </a:ln>
                  </pic:spPr>
                </pic:pic>
              </a:graphicData>
            </a:graphic>
          </wp:inline>
        </w:drawing>
      </w:r>
      <w:r>
        <w:drawing>
          <wp:inline distT="0" distB="0" distL="114300" distR="114300">
            <wp:extent cx="4905375" cy="6981825"/>
            <wp:effectExtent l="0" t="0" r="9525" b="9525"/>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35"/>
                    <a:stretch>
                      <a:fillRect/>
                    </a:stretch>
                  </pic:blipFill>
                  <pic:spPr>
                    <a:xfrm>
                      <a:off x="0" y="0"/>
                      <a:ext cx="4905375" cy="6981825"/>
                    </a:xfrm>
                    <a:prstGeom prst="rect">
                      <a:avLst/>
                    </a:prstGeom>
                    <a:noFill/>
                    <a:ln>
                      <a:noFill/>
                    </a:ln>
                  </pic:spPr>
                </pic:pic>
              </a:graphicData>
            </a:graphic>
          </wp:inline>
        </w:drawing>
      </w:r>
      <w:r>
        <w:drawing>
          <wp:inline distT="0" distB="0" distL="114300" distR="114300">
            <wp:extent cx="4905375" cy="6858000"/>
            <wp:effectExtent l="0" t="0" r="9525" b="0"/>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r:embed="rId36"/>
                    <a:stretch>
                      <a:fillRect/>
                    </a:stretch>
                  </pic:blipFill>
                  <pic:spPr>
                    <a:xfrm>
                      <a:off x="0" y="0"/>
                      <a:ext cx="4905375" cy="6858000"/>
                    </a:xfrm>
                    <a:prstGeom prst="rect">
                      <a:avLst/>
                    </a:prstGeom>
                    <a:noFill/>
                    <a:ln>
                      <a:noFill/>
                    </a:ln>
                  </pic:spPr>
                </pic:pic>
              </a:graphicData>
            </a:graphic>
          </wp:inline>
        </w:drawing>
      </w:r>
      <w:r>
        <w:drawing>
          <wp:inline distT="0" distB="0" distL="114300" distR="114300">
            <wp:extent cx="4848225" cy="6781800"/>
            <wp:effectExtent l="0" t="0" r="9525" b="0"/>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1"/>
                    </pic:cNvPicPr>
                  </pic:nvPicPr>
                  <pic:blipFill>
                    <a:blip r:embed="rId37"/>
                    <a:stretch>
                      <a:fillRect/>
                    </a:stretch>
                  </pic:blipFill>
                  <pic:spPr>
                    <a:xfrm>
                      <a:off x="0" y="0"/>
                      <a:ext cx="4848225" cy="6781800"/>
                    </a:xfrm>
                    <a:prstGeom prst="rect">
                      <a:avLst/>
                    </a:prstGeom>
                    <a:noFill/>
                    <a:ln>
                      <a:noFill/>
                    </a:ln>
                  </pic:spPr>
                </pic:pic>
              </a:graphicData>
            </a:graphic>
          </wp:inline>
        </w:drawing>
      </w:r>
      <w:r>
        <w:drawing>
          <wp:inline distT="0" distB="0" distL="114300" distR="114300">
            <wp:extent cx="4924425" cy="6819900"/>
            <wp:effectExtent l="0" t="0" r="9525" b="0"/>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38"/>
                    <a:stretch>
                      <a:fillRect/>
                    </a:stretch>
                  </pic:blipFill>
                  <pic:spPr>
                    <a:xfrm>
                      <a:off x="0" y="0"/>
                      <a:ext cx="4924425" cy="6819900"/>
                    </a:xfrm>
                    <a:prstGeom prst="rect">
                      <a:avLst/>
                    </a:prstGeom>
                    <a:noFill/>
                    <a:ln>
                      <a:noFill/>
                    </a:ln>
                  </pic:spPr>
                </pic:pic>
              </a:graphicData>
            </a:graphic>
          </wp:inline>
        </w:drawing>
      </w:r>
      <w:r>
        <w:drawing>
          <wp:inline distT="0" distB="0" distL="114300" distR="114300">
            <wp:extent cx="4962525" cy="6800850"/>
            <wp:effectExtent l="0" t="0" r="9525" b="0"/>
            <wp:docPr id="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39"/>
                    <a:stretch>
                      <a:fillRect/>
                    </a:stretch>
                  </pic:blipFill>
                  <pic:spPr>
                    <a:xfrm>
                      <a:off x="0" y="0"/>
                      <a:ext cx="4962525" cy="6800850"/>
                    </a:xfrm>
                    <a:prstGeom prst="rect">
                      <a:avLst/>
                    </a:prstGeom>
                    <a:noFill/>
                    <a:ln>
                      <a:noFill/>
                    </a:ln>
                  </pic:spPr>
                </pic:pic>
              </a:graphicData>
            </a:graphic>
          </wp:inline>
        </w:drawing>
      </w:r>
      <w:r>
        <w:drawing>
          <wp:inline distT="0" distB="0" distL="114300" distR="114300">
            <wp:extent cx="4933950" cy="6943725"/>
            <wp:effectExtent l="0" t="0" r="0" b="9525"/>
            <wp:docPr id="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pic:cNvPicPr>
                      <a:picLocks noChangeAspect="1"/>
                    </pic:cNvPicPr>
                  </pic:nvPicPr>
                  <pic:blipFill>
                    <a:blip r:embed="rId40"/>
                    <a:stretch>
                      <a:fillRect/>
                    </a:stretch>
                  </pic:blipFill>
                  <pic:spPr>
                    <a:xfrm>
                      <a:off x="0" y="0"/>
                      <a:ext cx="4933950" cy="6943725"/>
                    </a:xfrm>
                    <a:prstGeom prst="rect">
                      <a:avLst/>
                    </a:prstGeom>
                    <a:noFill/>
                    <a:ln>
                      <a:noFill/>
                    </a:ln>
                  </pic:spPr>
                </pic:pic>
              </a:graphicData>
            </a:graphic>
          </wp:inline>
        </w:drawing>
      </w:r>
      <w:r>
        <w:drawing>
          <wp:inline distT="0" distB="0" distL="114300" distR="114300">
            <wp:extent cx="4962525" cy="6905625"/>
            <wp:effectExtent l="0" t="0" r="9525" b="9525"/>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41"/>
                    <a:stretch>
                      <a:fillRect/>
                    </a:stretch>
                  </pic:blipFill>
                  <pic:spPr>
                    <a:xfrm>
                      <a:off x="0" y="0"/>
                      <a:ext cx="4962525" cy="6905625"/>
                    </a:xfrm>
                    <a:prstGeom prst="rect">
                      <a:avLst/>
                    </a:prstGeom>
                    <a:noFill/>
                    <a:ln>
                      <a:noFill/>
                    </a:ln>
                  </pic:spPr>
                </pic:pic>
              </a:graphicData>
            </a:graphic>
          </wp:inline>
        </w:drawing>
      </w:r>
      <w:r>
        <w:drawing>
          <wp:inline distT="0" distB="0" distL="114300" distR="114300">
            <wp:extent cx="4933950" cy="6619875"/>
            <wp:effectExtent l="0" t="0" r="0" b="9525"/>
            <wp:docPr id="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42"/>
                    <a:stretch>
                      <a:fillRect/>
                    </a:stretch>
                  </pic:blipFill>
                  <pic:spPr>
                    <a:xfrm>
                      <a:off x="0" y="0"/>
                      <a:ext cx="4933950" cy="6619875"/>
                    </a:xfrm>
                    <a:prstGeom prst="rect">
                      <a:avLst/>
                    </a:prstGeom>
                    <a:noFill/>
                    <a:ln>
                      <a:noFill/>
                    </a:ln>
                  </pic:spPr>
                </pic:pic>
              </a:graphicData>
            </a:graphic>
          </wp:inline>
        </w:drawing>
      </w:r>
      <w:r>
        <w:drawing>
          <wp:inline distT="0" distB="0" distL="114300" distR="114300">
            <wp:extent cx="4933950" cy="6753225"/>
            <wp:effectExtent l="0" t="0" r="0" b="9525"/>
            <wp:docPr id="3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2"/>
                    <pic:cNvPicPr>
                      <a:picLocks noChangeAspect="1"/>
                    </pic:cNvPicPr>
                  </pic:nvPicPr>
                  <pic:blipFill>
                    <a:blip r:embed="rId43"/>
                    <a:stretch>
                      <a:fillRect/>
                    </a:stretch>
                  </pic:blipFill>
                  <pic:spPr>
                    <a:xfrm>
                      <a:off x="0" y="0"/>
                      <a:ext cx="4933950" cy="6753225"/>
                    </a:xfrm>
                    <a:prstGeom prst="rect">
                      <a:avLst/>
                    </a:prstGeom>
                    <a:noFill/>
                    <a:ln>
                      <a:noFill/>
                    </a:ln>
                  </pic:spPr>
                </pic:pic>
              </a:graphicData>
            </a:graphic>
          </wp:inline>
        </w:drawing>
      </w:r>
      <w:r>
        <w:drawing>
          <wp:inline distT="0" distB="0" distL="114300" distR="114300">
            <wp:extent cx="4914900" cy="6819900"/>
            <wp:effectExtent l="0" t="0" r="0" b="0"/>
            <wp:docPr id="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3"/>
                    <pic:cNvPicPr>
                      <a:picLocks noChangeAspect="1"/>
                    </pic:cNvPicPr>
                  </pic:nvPicPr>
                  <pic:blipFill>
                    <a:blip r:embed="rId44"/>
                    <a:stretch>
                      <a:fillRect/>
                    </a:stretch>
                  </pic:blipFill>
                  <pic:spPr>
                    <a:xfrm>
                      <a:off x="0" y="0"/>
                      <a:ext cx="4914900" cy="6819900"/>
                    </a:xfrm>
                    <a:prstGeom prst="rect">
                      <a:avLst/>
                    </a:prstGeom>
                    <a:noFill/>
                    <a:ln>
                      <a:noFill/>
                    </a:ln>
                  </pic:spPr>
                </pic:pic>
              </a:graphicData>
            </a:graphic>
          </wp:inline>
        </w:drawing>
      </w:r>
      <w:r>
        <w:drawing>
          <wp:inline distT="0" distB="0" distL="114300" distR="114300">
            <wp:extent cx="4981575" cy="6238875"/>
            <wp:effectExtent l="0" t="0" r="9525" b="9525"/>
            <wp:docPr id="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4"/>
                    <pic:cNvPicPr>
                      <a:picLocks noChangeAspect="1"/>
                    </pic:cNvPicPr>
                  </pic:nvPicPr>
                  <pic:blipFill>
                    <a:blip r:embed="rId45"/>
                    <a:stretch>
                      <a:fillRect/>
                    </a:stretch>
                  </pic:blipFill>
                  <pic:spPr>
                    <a:xfrm>
                      <a:off x="0" y="0"/>
                      <a:ext cx="4981575" cy="6238875"/>
                    </a:xfrm>
                    <a:prstGeom prst="rect">
                      <a:avLst/>
                    </a:prstGeom>
                    <a:noFill/>
                    <a:ln>
                      <a:noFill/>
                    </a:ln>
                  </pic:spPr>
                </pic:pic>
              </a:graphicData>
            </a:graphic>
          </wp:inline>
        </w:drawing>
      </w:r>
    </w:p>
    <w:p>
      <w:pPr>
        <w:jc w:val="center"/>
        <w:outlineLvl w:val="0"/>
        <w:rPr>
          <w:rFonts w:ascii="Times New Roman" w:hAnsi="Times New Roman" w:cs="Times New Roman"/>
          <w:b/>
          <w:color w:val="auto"/>
          <w:sz w:val="28"/>
          <w:szCs w:val="28"/>
          <w:highlight w:val="none"/>
        </w:rPr>
      </w:pPr>
      <w:bookmarkStart w:id="95" w:name="_Toc5158"/>
      <w:bookmarkStart w:id="96" w:name="_Toc25883"/>
      <w:bookmarkStart w:id="97" w:name="_Toc14039"/>
      <w:r>
        <w:rPr>
          <w:rFonts w:ascii="Times New Roman" w:hAnsi="Times New Roman" w:cs="Times New Roman"/>
          <w:b/>
          <w:color w:val="auto"/>
          <w:sz w:val="28"/>
          <w:szCs w:val="28"/>
          <w:highlight w:val="none"/>
        </w:rPr>
        <w:t>建设项目工程竣工环境保护“三同时”验收登记表</w:t>
      </w:r>
      <w:bookmarkEnd w:id="95"/>
      <w:bookmarkEnd w:id="96"/>
      <w:bookmarkEnd w:id="97"/>
    </w:p>
    <w:p>
      <w:pPr>
        <w:spacing w:line="240" w:lineRule="exact"/>
        <w:ind w:firstLine="180" w:firstLineChars="100"/>
        <w:rPr>
          <w:rFonts w:ascii="Times New Roman" w:hAnsi="Times New Roman" w:cs="Times New Roman"/>
          <w:color w:val="auto"/>
          <w:sz w:val="18"/>
          <w:szCs w:val="18"/>
          <w:highlight w:val="none"/>
        </w:rPr>
      </w:pPr>
      <w:r>
        <w:rPr>
          <w:rFonts w:ascii="Times New Roman" w:hAnsi="Times New Roman" w:cs="Times New Roman"/>
          <w:color w:val="auto"/>
          <w:sz w:val="18"/>
          <w:szCs w:val="18"/>
          <w:highlight w:val="none"/>
        </w:rPr>
        <w:t xml:space="preserve">填表单位（盖章）： </w:t>
      </w:r>
      <w:r>
        <w:rPr>
          <w:rFonts w:hint="eastAsia" w:ascii="Times New Roman" w:hAnsi="Times New Roman" w:cs="Times New Roman"/>
          <w:color w:val="auto"/>
          <w:sz w:val="18"/>
          <w:szCs w:val="18"/>
          <w:highlight w:val="none"/>
          <w:lang w:eastAsia="zh-CN"/>
        </w:rPr>
        <w:t>宁波市鄞州勤锦金属回收有限公司</w:t>
      </w:r>
      <w:r>
        <w:rPr>
          <w:rFonts w:ascii="Times New Roman" w:hAnsi="Times New Roman" w:cs="Times New Roman"/>
          <w:color w:val="auto"/>
          <w:sz w:val="18"/>
          <w:szCs w:val="18"/>
          <w:highlight w:val="none"/>
        </w:rPr>
        <w:t xml:space="preserve"> 填表人（签字）：                              项目经办人（签字）：</w:t>
      </w:r>
    </w:p>
    <w:tbl>
      <w:tblPr>
        <w:tblStyle w:val="23"/>
        <w:tblW w:w="15876" w:type="dxa"/>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430"/>
        <w:gridCol w:w="168"/>
        <w:gridCol w:w="1202"/>
        <w:gridCol w:w="594"/>
        <w:gridCol w:w="828"/>
        <w:gridCol w:w="1379"/>
        <w:gridCol w:w="1097"/>
        <w:gridCol w:w="981"/>
        <w:gridCol w:w="523"/>
        <w:gridCol w:w="588"/>
        <w:gridCol w:w="1086"/>
        <w:gridCol w:w="976"/>
        <w:gridCol w:w="1920"/>
        <w:gridCol w:w="964"/>
        <w:gridCol w:w="690"/>
        <w:gridCol w:w="554"/>
        <w:gridCol w:w="446"/>
        <w:gridCol w:w="656"/>
        <w:gridCol w:w="794"/>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430" w:type="dxa"/>
            <w:vMerge w:val="restart"/>
            <w:tcBorders>
              <w:tl2br w:val="nil"/>
              <w:tr2bl w:val="nil"/>
            </w:tcBorders>
            <w:tcMar>
              <w:left w:w="57" w:type="dxa"/>
              <w:right w:w="57" w:type="dxa"/>
            </w:tcMar>
            <w:textDirection w:val="tbRlV"/>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建设项目</w:t>
            </w:r>
          </w:p>
        </w:tc>
        <w:tc>
          <w:tcPr>
            <w:tcW w:w="196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项目名称</w:t>
            </w:r>
          </w:p>
        </w:tc>
        <w:tc>
          <w:tcPr>
            <w:tcW w:w="5396" w:type="dxa"/>
            <w:gridSpan w:val="6"/>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eastAsiaTheme="minorEastAsia"/>
                <w:color w:val="auto"/>
                <w:sz w:val="15"/>
                <w:szCs w:val="15"/>
                <w:highlight w:val="none"/>
                <w:lang w:eastAsia="zh-CN"/>
              </w:rPr>
            </w:pPr>
            <w:r>
              <w:rPr>
                <w:rFonts w:hint="eastAsia" w:ascii="Times New Roman" w:hAnsi="Times New Roman" w:cs="Times New Roman"/>
                <w:color w:val="auto"/>
                <w:sz w:val="15"/>
                <w:szCs w:val="15"/>
                <w:highlight w:val="none"/>
                <w:lang w:eastAsia="zh-CN"/>
              </w:rPr>
              <w:t>宁波市鄞州勤锦金属回收有限公司年回收拆解3万台报废汽车扩建项目</w:t>
            </w:r>
          </w:p>
        </w:tc>
        <w:tc>
          <w:tcPr>
            <w:tcW w:w="206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项目代码</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w:t>
            </w:r>
          </w:p>
        </w:tc>
        <w:tc>
          <w:tcPr>
            <w:tcW w:w="165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建设地点</w:t>
            </w:r>
          </w:p>
        </w:tc>
        <w:tc>
          <w:tcPr>
            <w:tcW w:w="2450" w:type="dxa"/>
            <w:gridSpan w:val="4"/>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hint="default" w:ascii="Times New Roman" w:hAnsi="Times New Roman" w:cs="Times New Roman"/>
                <w:color w:val="auto"/>
                <w:sz w:val="15"/>
                <w:szCs w:val="15"/>
                <w:highlight w:val="none"/>
                <w:lang w:eastAsia="zh-CN"/>
              </w:rPr>
              <w:t>宁波市鄞州区五乡镇新诚村</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430" w:type="dxa"/>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p>
        </w:tc>
        <w:tc>
          <w:tcPr>
            <w:tcW w:w="196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行业类别（分类管理名录）</w:t>
            </w:r>
          </w:p>
        </w:tc>
        <w:tc>
          <w:tcPr>
            <w:tcW w:w="5396" w:type="dxa"/>
            <w:gridSpan w:val="6"/>
            <w:tcBorders>
              <w:tl2br w:val="nil"/>
              <w:tr2bl w:val="nil"/>
            </w:tcBorders>
            <w:tcMar>
              <w:left w:w="57" w:type="dxa"/>
              <w:right w:w="57" w:type="dxa"/>
            </w:tcMar>
            <w:vAlign w:val="center"/>
          </w:tcPr>
          <w:p>
            <w:pPr>
              <w:pStyle w:val="83"/>
              <w:ind w:firstLine="0" w:firstLineChars="0"/>
              <w:jc w:val="center"/>
              <w:rPr>
                <w:rFonts w:ascii="Times New Roman" w:hAnsi="Times New Roman" w:cs="Times New Roman" w:eastAsiaTheme="minorEastAsia"/>
                <w:bCs w:val="0"/>
                <w:color w:val="auto"/>
                <w:sz w:val="15"/>
                <w:szCs w:val="15"/>
                <w:highlight w:val="none"/>
              </w:rPr>
            </w:pPr>
            <w:r>
              <w:rPr>
                <w:rFonts w:hint="eastAsia" w:ascii="Times New Roman" w:hAnsi="Times New Roman" w:cs="Times New Roman" w:eastAsiaTheme="minorEastAsia"/>
                <w:bCs w:val="0"/>
                <w:color w:val="auto"/>
                <w:kern w:val="2"/>
                <w:sz w:val="15"/>
                <w:szCs w:val="15"/>
                <w:highlight w:val="none"/>
              </w:rPr>
              <w:t>制造业</w:t>
            </w:r>
          </w:p>
        </w:tc>
        <w:tc>
          <w:tcPr>
            <w:tcW w:w="206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建设性质</w:t>
            </w:r>
          </w:p>
        </w:tc>
        <w:tc>
          <w:tcPr>
            <w:tcW w:w="357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sym w:font="Wingdings 2" w:char="00A3"/>
            </w:r>
            <w:r>
              <w:rPr>
                <w:rFonts w:ascii="Times New Roman" w:hAnsi="Times New Roman" w:cs="Times New Roman"/>
                <w:b/>
                <w:bCs/>
                <w:color w:val="auto"/>
                <w:sz w:val="15"/>
                <w:szCs w:val="15"/>
                <w:highlight w:val="none"/>
              </w:rPr>
              <w:t xml:space="preserve"> 新建  </w:t>
            </w:r>
            <w:r>
              <w:rPr>
                <w:rFonts w:ascii="Times New Roman" w:hAnsi="Times New Roman" w:cs="Times New Roman"/>
                <w:b/>
                <w:bCs/>
                <w:color w:val="auto"/>
                <w:sz w:val="15"/>
                <w:szCs w:val="15"/>
                <w:highlight w:val="none"/>
              </w:rPr>
              <w:sym w:font="Wingdings 2" w:char="0052"/>
            </w:r>
            <w:r>
              <w:rPr>
                <w:rFonts w:ascii="Times New Roman" w:hAnsi="Times New Roman" w:cs="Times New Roman"/>
                <w:b/>
                <w:bCs/>
                <w:color w:val="auto"/>
                <w:sz w:val="15"/>
                <w:szCs w:val="15"/>
                <w:highlight w:val="none"/>
              </w:rPr>
              <w:t xml:space="preserve"> 改扩建  </w:t>
            </w:r>
            <w:r>
              <w:rPr>
                <w:rFonts w:ascii="Times New Roman" w:hAnsi="Times New Roman" w:cs="Times New Roman"/>
                <w:b/>
                <w:bCs/>
                <w:color w:val="auto"/>
                <w:sz w:val="15"/>
                <w:szCs w:val="15"/>
                <w:highlight w:val="none"/>
              </w:rPr>
              <w:sym w:font="Wingdings 2" w:char="00A3"/>
            </w:r>
            <w:r>
              <w:rPr>
                <w:rFonts w:ascii="Times New Roman" w:hAnsi="Times New Roman" w:cs="Times New Roman"/>
                <w:b/>
                <w:bCs/>
                <w:color w:val="auto"/>
                <w:sz w:val="15"/>
                <w:szCs w:val="15"/>
                <w:highlight w:val="none"/>
              </w:rPr>
              <w:t>技术改造</w:t>
            </w:r>
          </w:p>
        </w:tc>
        <w:tc>
          <w:tcPr>
            <w:tcW w:w="1000" w:type="dxa"/>
            <w:gridSpan w:val="2"/>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b/>
                <w:bCs/>
                <w:color w:val="auto"/>
                <w:sz w:val="15"/>
                <w:szCs w:val="15"/>
                <w:highlight w:val="none"/>
                <w:lang w:eastAsia="zh-CN"/>
              </w:rPr>
            </w:pPr>
            <w:r>
              <w:rPr>
                <w:rFonts w:hint="eastAsia" w:ascii="Times New Roman" w:hAnsi="Times New Roman" w:cs="Times New Roman"/>
                <w:b/>
                <w:bCs/>
                <w:color w:val="auto"/>
                <w:sz w:val="15"/>
                <w:szCs w:val="15"/>
                <w:highlight w:val="none"/>
                <w:lang w:eastAsia="zh-CN"/>
              </w:rPr>
              <w:t>项目厂区中心经度/纬度</w:t>
            </w:r>
          </w:p>
        </w:tc>
        <w:tc>
          <w:tcPr>
            <w:tcW w:w="1450" w:type="dxa"/>
            <w:gridSpan w:val="2"/>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color w:val="auto"/>
                <w:sz w:val="15"/>
                <w:szCs w:val="15"/>
                <w:highlight w:val="none"/>
                <w:lang w:eastAsia="zh-CN"/>
              </w:rPr>
            </w:pPr>
            <w:r>
              <w:rPr>
                <w:rFonts w:hint="eastAsia" w:ascii="Times New Roman" w:hAnsi="Times New Roman" w:cs="Times New Roman"/>
                <w:color w:val="auto"/>
                <w:sz w:val="15"/>
                <w:szCs w:val="15"/>
                <w:highlight w:val="none"/>
                <w:lang w:eastAsia="zh-CN"/>
              </w:rPr>
              <w:t>北纬</w:t>
            </w:r>
            <w:r>
              <w:rPr>
                <w:rFonts w:hint="default" w:ascii="Times New Roman" w:hAnsi="Times New Roman" w:cs="Times New Roman"/>
                <w:color w:val="auto"/>
                <w:sz w:val="15"/>
                <w:szCs w:val="15"/>
                <w:highlight w:val="none"/>
                <w:lang w:val="en-US" w:eastAsia="zh-CN"/>
              </w:rPr>
              <w:t>29°51'46.43"</w:t>
            </w:r>
          </w:p>
          <w:p>
            <w:pPr>
              <w:spacing w:line="240" w:lineRule="exact"/>
              <w:jc w:val="center"/>
              <w:rPr>
                <w:rFonts w:hint="eastAsia" w:ascii="Times New Roman" w:hAnsi="Times New Roman" w:cs="Times New Roman"/>
                <w:color w:val="auto"/>
                <w:sz w:val="15"/>
                <w:szCs w:val="15"/>
                <w:highlight w:val="none"/>
                <w:lang w:eastAsia="zh-CN"/>
              </w:rPr>
            </w:pPr>
            <w:r>
              <w:rPr>
                <w:rFonts w:hint="eastAsia" w:ascii="Times New Roman" w:hAnsi="Times New Roman" w:cs="Times New Roman"/>
                <w:color w:val="auto"/>
                <w:sz w:val="15"/>
                <w:szCs w:val="15"/>
                <w:highlight w:val="none"/>
                <w:lang w:eastAsia="zh-CN"/>
              </w:rPr>
              <w:t>东经</w:t>
            </w:r>
            <w:r>
              <w:rPr>
                <w:rFonts w:hint="default" w:ascii="Times New Roman" w:hAnsi="Times New Roman" w:cs="Times New Roman"/>
                <w:color w:val="auto"/>
                <w:sz w:val="15"/>
                <w:szCs w:val="15"/>
                <w:highlight w:val="none"/>
                <w:lang w:val="en-US" w:eastAsia="zh-CN"/>
              </w:rPr>
              <w:t>121°40'21.42"</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430" w:type="dxa"/>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p>
        </w:tc>
        <w:tc>
          <w:tcPr>
            <w:tcW w:w="196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设计生产能力</w:t>
            </w:r>
          </w:p>
        </w:tc>
        <w:tc>
          <w:tcPr>
            <w:tcW w:w="5396" w:type="dxa"/>
            <w:gridSpan w:val="6"/>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lang w:eastAsia="zh-CN"/>
              </w:rPr>
              <w:t>年回收拆解3万台报废汽车</w:t>
            </w:r>
          </w:p>
        </w:tc>
        <w:tc>
          <w:tcPr>
            <w:tcW w:w="206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实际生产能力</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lang w:eastAsia="zh-CN"/>
              </w:rPr>
              <w:t>年回收拆解3万台报废汽车</w:t>
            </w:r>
          </w:p>
        </w:tc>
        <w:tc>
          <w:tcPr>
            <w:tcW w:w="165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环评单位</w:t>
            </w:r>
          </w:p>
        </w:tc>
        <w:tc>
          <w:tcPr>
            <w:tcW w:w="2450" w:type="dxa"/>
            <w:gridSpan w:val="4"/>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color w:val="auto"/>
                <w:sz w:val="15"/>
                <w:szCs w:val="15"/>
                <w:highlight w:val="none"/>
                <w:lang w:eastAsia="zh-CN"/>
              </w:rPr>
            </w:pPr>
            <w:r>
              <w:rPr>
                <w:rFonts w:hint="eastAsia" w:ascii="Times New Roman" w:hAnsi="Times New Roman" w:cs="Times New Roman"/>
                <w:color w:val="auto"/>
                <w:sz w:val="15"/>
                <w:szCs w:val="15"/>
                <w:highlight w:val="none"/>
                <w:lang w:eastAsia="zh-CN"/>
              </w:rPr>
              <w:t>宁波市树泰环境技术有限公司</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430" w:type="dxa"/>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p>
        </w:tc>
        <w:tc>
          <w:tcPr>
            <w:tcW w:w="196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环评文件审批机关</w:t>
            </w:r>
          </w:p>
        </w:tc>
        <w:tc>
          <w:tcPr>
            <w:tcW w:w="5396" w:type="dxa"/>
            <w:gridSpan w:val="6"/>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eastAsiaTheme="minorEastAsia"/>
                <w:color w:val="auto"/>
                <w:sz w:val="15"/>
                <w:szCs w:val="15"/>
                <w:highlight w:val="none"/>
                <w:lang w:eastAsia="zh-CN"/>
              </w:rPr>
            </w:pPr>
            <w:r>
              <w:rPr>
                <w:rFonts w:hint="eastAsia" w:ascii="Times New Roman" w:hAnsi="Times New Roman" w:cs="Times New Roman"/>
                <w:color w:val="auto"/>
                <w:sz w:val="15"/>
                <w:szCs w:val="15"/>
                <w:highlight w:val="none"/>
                <w:lang w:eastAsia="zh-CN"/>
              </w:rPr>
              <w:t>宁波市生态环境局</w:t>
            </w:r>
          </w:p>
        </w:tc>
        <w:tc>
          <w:tcPr>
            <w:tcW w:w="206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审批文号</w:t>
            </w:r>
          </w:p>
        </w:tc>
        <w:tc>
          <w:tcPr>
            <w:tcW w:w="1920" w:type="dxa"/>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eastAsiaTheme="minorEastAsia"/>
                <w:color w:val="auto"/>
                <w:sz w:val="15"/>
                <w:szCs w:val="15"/>
                <w:highlight w:val="none"/>
                <w:lang w:eastAsia="zh-CN"/>
              </w:rPr>
            </w:pPr>
            <w:r>
              <w:rPr>
                <w:rFonts w:hint="eastAsia" w:ascii="Times New Roman" w:hAnsi="Times New Roman" w:cs="Times New Roman"/>
                <w:color w:val="auto"/>
                <w:sz w:val="15"/>
                <w:szCs w:val="15"/>
                <w:highlight w:val="none"/>
                <w:lang w:eastAsia="zh-CN"/>
              </w:rPr>
              <w:t>甬鄞环建【2020】8号</w:t>
            </w:r>
          </w:p>
        </w:tc>
        <w:tc>
          <w:tcPr>
            <w:tcW w:w="165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环评文件类型</w:t>
            </w:r>
          </w:p>
        </w:tc>
        <w:tc>
          <w:tcPr>
            <w:tcW w:w="2450" w:type="dxa"/>
            <w:gridSpan w:val="4"/>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eastAsiaTheme="minorEastAsia"/>
                <w:b/>
                <w:bCs/>
                <w:color w:val="auto"/>
                <w:sz w:val="15"/>
                <w:szCs w:val="15"/>
                <w:highlight w:val="none"/>
                <w:lang w:eastAsia="zh-CN"/>
              </w:rPr>
            </w:pPr>
            <w:r>
              <w:rPr>
                <w:rFonts w:ascii="Times New Roman" w:hAnsi="Times New Roman" w:cs="Times New Roman"/>
                <w:color w:val="auto"/>
                <w:sz w:val="15"/>
                <w:szCs w:val="15"/>
                <w:highlight w:val="none"/>
              </w:rPr>
              <w:t>报告</w:t>
            </w:r>
            <w:r>
              <w:rPr>
                <w:rFonts w:hint="eastAsia" w:ascii="Times New Roman" w:hAnsi="Times New Roman" w:cs="Times New Roman"/>
                <w:color w:val="auto"/>
                <w:sz w:val="15"/>
                <w:szCs w:val="15"/>
                <w:highlight w:val="none"/>
                <w:lang w:eastAsia="zh-CN"/>
              </w:rPr>
              <w:t>书</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430" w:type="dxa"/>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p>
        </w:tc>
        <w:tc>
          <w:tcPr>
            <w:tcW w:w="196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开工日期</w:t>
            </w:r>
          </w:p>
        </w:tc>
        <w:tc>
          <w:tcPr>
            <w:tcW w:w="5396" w:type="dxa"/>
            <w:gridSpan w:val="6"/>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20</w:t>
            </w:r>
            <w:r>
              <w:rPr>
                <w:rFonts w:hint="eastAsia" w:ascii="Times New Roman" w:hAnsi="Times New Roman" w:cs="Times New Roman"/>
                <w:color w:val="auto"/>
                <w:sz w:val="15"/>
                <w:szCs w:val="15"/>
                <w:highlight w:val="none"/>
                <w:lang w:val="en-US" w:eastAsia="zh-CN"/>
              </w:rPr>
              <w:t>21</w:t>
            </w:r>
            <w:r>
              <w:rPr>
                <w:rFonts w:ascii="Times New Roman" w:hAnsi="Times New Roman" w:cs="Times New Roman"/>
                <w:color w:val="auto"/>
                <w:sz w:val="15"/>
                <w:szCs w:val="15"/>
                <w:highlight w:val="none"/>
              </w:rPr>
              <w:t>年</w:t>
            </w:r>
            <w:r>
              <w:rPr>
                <w:rFonts w:hint="eastAsia" w:ascii="Times New Roman" w:hAnsi="Times New Roman" w:cs="Times New Roman"/>
                <w:color w:val="auto"/>
                <w:sz w:val="15"/>
                <w:szCs w:val="15"/>
                <w:highlight w:val="none"/>
                <w:lang w:val="en-US" w:eastAsia="zh-CN"/>
              </w:rPr>
              <w:t>01</w:t>
            </w:r>
            <w:r>
              <w:rPr>
                <w:rFonts w:ascii="Times New Roman" w:hAnsi="Times New Roman" w:cs="Times New Roman"/>
                <w:color w:val="auto"/>
                <w:sz w:val="15"/>
                <w:szCs w:val="15"/>
                <w:highlight w:val="none"/>
              </w:rPr>
              <w:t>月</w:t>
            </w:r>
          </w:p>
        </w:tc>
        <w:tc>
          <w:tcPr>
            <w:tcW w:w="206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竣工日期</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20</w:t>
            </w:r>
            <w:r>
              <w:rPr>
                <w:rFonts w:hint="eastAsia" w:ascii="Times New Roman" w:hAnsi="Times New Roman" w:cs="Times New Roman"/>
                <w:color w:val="auto"/>
                <w:sz w:val="15"/>
                <w:szCs w:val="15"/>
                <w:highlight w:val="none"/>
                <w:lang w:val="en-US" w:eastAsia="zh-CN"/>
              </w:rPr>
              <w:t>22</w:t>
            </w:r>
            <w:r>
              <w:rPr>
                <w:rFonts w:ascii="Times New Roman" w:hAnsi="Times New Roman" w:cs="Times New Roman"/>
                <w:color w:val="auto"/>
                <w:sz w:val="15"/>
                <w:szCs w:val="15"/>
                <w:highlight w:val="none"/>
              </w:rPr>
              <w:t>年</w:t>
            </w:r>
            <w:r>
              <w:rPr>
                <w:rFonts w:hint="eastAsia" w:ascii="Times New Roman" w:hAnsi="Times New Roman" w:cs="Times New Roman"/>
                <w:color w:val="auto"/>
                <w:sz w:val="15"/>
                <w:szCs w:val="15"/>
                <w:highlight w:val="none"/>
                <w:lang w:val="en-US" w:eastAsia="zh-CN"/>
              </w:rPr>
              <w:t>01</w:t>
            </w:r>
            <w:r>
              <w:rPr>
                <w:rFonts w:ascii="Times New Roman" w:hAnsi="Times New Roman" w:cs="Times New Roman"/>
                <w:color w:val="auto"/>
                <w:sz w:val="15"/>
                <w:szCs w:val="15"/>
                <w:highlight w:val="none"/>
              </w:rPr>
              <w:t>月</w:t>
            </w:r>
          </w:p>
        </w:tc>
        <w:tc>
          <w:tcPr>
            <w:tcW w:w="165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排污许可证申领时间</w:t>
            </w:r>
          </w:p>
        </w:tc>
        <w:tc>
          <w:tcPr>
            <w:tcW w:w="2450" w:type="dxa"/>
            <w:gridSpan w:val="4"/>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430" w:type="dxa"/>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p>
        </w:tc>
        <w:tc>
          <w:tcPr>
            <w:tcW w:w="196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环保设施设计单位</w:t>
            </w:r>
          </w:p>
        </w:tc>
        <w:tc>
          <w:tcPr>
            <w:tcW w:w="5396" w:type="dxa"/>
            <w:gridSpan w:val="6"/>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206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环保设施施工单位</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65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本工程排污许可证编号</w:t>
            </w:r>
          </w:p>
        </w:tc>
        <w:tc>
          <w:tcPr>
            <w:tcW w:w="2450" w:type="dxa"/>
            <w:gridSpan w:val="4"/>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430" w:type="dxa"/>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p>
        </w:tc>
        <w:tc>
          <w:tcPr>
            <w:tcW w:w="196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验收单位</w:t>
            </w:r>
          </w:p>
        </w:tc>
        <w:tc>
          <w:tcPr>
            <w:tcW w:w="5396" w:type="dxa"/>
            <w:gridSpan w:val="6"/>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eastAsiaTheme="minorEastAsia"/>
                <w:color w:val="auto"/>
                <w:sz w:val="15"/>
                <w:szCs w:val="15"/>
                <w:highlight w:val="none"/>
                <w:lang w:eastAsia="zh-CN"/>
              </w:rPr>
            </w:pPr>
            <w:r>
              <w:rPr>
                <w:rFonts w:hint="eastAsia" w:ascii="Times New Roman" w:hAnsi="Times New Roman" w:cs="Times New Roman"/>
                <w:color w:val="auto"/>
                <w:sz w:val="15"/>
                <w:szCs w:val="15"/>
                <w:highlight w:val="none"/>
                <w:lang w:eastAsia="zh-CN"/>
              </w:rPr>
              <w:t>宁波市鄞州勤锦金属回收有限公司</w:t>
            </w:r>
          </w:p>
        </w:tc>
        <w:tc>
          <w:tcPr>
            <w:tcW w:w="206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环保设施监测单位</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浙江中一检测研究院股份有限公司</w:t>
            </w:r>
          </w:p>
        </w:tc>
        <w:tc>
          <w:tcPr>
            <w:tcW w:w="165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验收监测时工况</w:t>
            </w:r>
          </w:p>
        </w:tc>
        <w:tc>
          <w:tcPr>
            <w:tcW w:w="2450" w:type="dxa"/>
            <w:gridSpan w:val="4"/>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lang w:val="en-US" w:eastAsia="zh-CN"/>
              </w:rPr>
              <w:t>＞75</w:t>
            </w:r>
            <w:r>
              <w:rPr>
                <w:rFonts w:ascii="Times New Roman" w:hAnsi="Times New Roman" w:cs="Times New Roman"/>
                <w:color w:val="auto"/>
                <w:sz w:val="15"/>
                <w:szCs w:val="15"/>
                <w:highlight w:val="none"/>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430" w:type="dxa"/>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p>
        </w:tc>
        <w:tc>
          <w:tcPr>
            <w:tcW w:w="196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投资总概算（万元）</w:t>
            </w:r>
          </w:p>
        </w:tc>
        <w:tc>
          <w:tcPr>
            <w:tcW w:w="5396" w:type="dxa"/>
            <w:gridSpan w:val="6"/>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color w:val="auto"/>
                <w:sz w:val="15"/>
                <w:szCs w:val="15"/>
                <w:highlight w:val="none"/>
                <w:lang w:val="en-US" w:eastAsia="zh-CN"/>
              </w:rPr>
            </w:pPr>
            <w:r>
              <w:rPr>
                <w:rFonts w:hint="eastAsia" w:ascii="Times New Roman" w:hAnsi="Times New Roman" w:cs="Times New Roman"/>
                <w:color w:val="auto"/>
                <w:sz w:val="15"/>
                <w:szCs w:val="15"/>
                <w:highlight w:val="none"/>
                <w:lang w:val="en-US" w:eastAsia="zh-CN"/>
              </w:rPr>
              <w:t>1500</w:t>
            </w:r>
          </w:p>
        </w:tc>
        <w:tc>
          <w:tcPr>
            <w:tcW w:w="206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环保投资总概算（万元）</w:t>
            </w:r>
          </w:p>
        </w:tc>
        <w:tc>
          <w:tcPr>
            <w:tcW w:w="1920" w:type="dxa"/>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eastAsiaTheme="minorEastAsia"/>
                <w:color w:val="auto"/>
                <w:sz w:val="15"/>
                <w:szCs w:val="15"/>
                <w:highlight w:val="none"/>
                <w:lang w:val="en-US" w:eastAsia="zh-CN"/>
              </w:rPr>
            </w:pPr>
            <w:r>
              <w:rPr>
                <w:rFonts w:hint="eastAsia" w:ascii="Times New Roman" w:hAnsi="Times New Roman" w:cs="Times New Roman"/>
                <w:color w:val="auto"/>
                <w:sz w:val="15"/>
                <w:szCs w:val="15"/>
                <w:highlight w:val="none"/>
                <w:lang w:val="en-US" w:eastAsia="zh-CN"/>
              </w:rPr>
              <w:t>35</w:t>
            </w:r>
          </w:p>
        </w:tc>
        <w:tc>
          <w:tcPr>
            <w:tcW w:w="165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所占比例（%）</w:t>
            </w:r>
          </w:p>
        </w:tc>
        <w:tc>
          <w:tcPr>
            <w:tcW w:w="2450" w:type="dxa"/>
            <w:gridSpan w:val="4"/>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lang w:val="en-US" w:eastAsia="zh-CN"/>
              </w:rPr>
              <w:t>2.33</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430" w:type="dxa"/>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p>
        </w:tc>
        <w:tc>
          <w:tcPr>
            <w:tcW w:w="196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实际总投资</w:t>
            </w:r>
          </w:p>
        </w:tc>
        <w:tc>
          <w:tcPr>
            <w:tcW w:w="5396" w:type="dxa"/>
            <w:gridSpan w:val="6"/>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color w:val="auto"/>
                <w:sz w:val="15"/>
                <w:szCs w:val="15"/>
                <w:highlight w:val="none"/>
                <w:lang w:val="en-US" w:eastAsia="zh-CN"/>
              </w:rPr>
            </w:pPr>
            <w:r>
              <w:rPr>
                <w:rFonts w:hint="eastAsia" w:ascii="Times New Roman" w:hAnsi="Times New Roman" w:cs="Times New Roman"/>
                <w:color w:val="auto"/>
                <w:sz w:val="15"/>
                <w:szCs w:val="15"/>
                <w:highlight w:val="none"/>
                <w:lang w:val="en-US" w:eastAsia="zh-CN"/>
              </w:rPr>
              <w:t>1500</w:t>
            </w:r>
          </w:p>
        </w:tc>
        <w:tc>
          <w:tcPr>
            <w:tcW w:w="206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实际环保投资（万元）</w:t>
            </w:r>
          </w:p>
        </w:tc>
        <w:tc>
          <w:tcPr>
            <w:tcW w:w="1920"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color w:val="auto"/>
                <w:sz w:val="15"/>
                <w:szCs w:val="15"/>
                <w:highlight w:val="none"/>
                <w:lang w:val="en-US" w:eastAsia="zh-CN"/>
              </w:rPr>
            </w:pPr>
            <w:r>
              <w:rPr>
                <w:rFonts w:hint="eastAsia" w:ascii="Times New Roman" w:hAnsi="Times New Roman" w:cs="Times New Roman"/>
                <w:color w:val="auto"/>
                <w:sz w:val="15"/>
                <w:szCs w:val="15"/>
                <w:highlight w:val="none"/>
                <w:lang w:val="en-US" w:eastAsia="zh-CN"/>
              </w:rPr>
              <w:t>180</w:t>
            </w:r>
          </w:p>
        </w:tc>
        <w:tc>
          <w:tcPr>
            <w:tcW w:w="165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所占比例（%）</w:t>
            </w:r>
          </w:p>
        </w:tc>
        <w:tc>
          <w:tcPr>
            <w:tcW w:w="2450" w:type="dxa"/>
            <w:gridSpan w:val="4"/>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color w:val="auto"/>
                <w:sz w:val="15"/>
                <w:szCs w:val="15"/>
                <w:highlight w:val="none"/>
                <w:lang w:val="en-US" w:eastAsia="zh-CN"/>
              </w:rPr>
            </w:pPr>
            <w:r>
              <w:rPr>
                <w:rFonts w:hint="eastAsia" w:ascii="Times New Roman" w:hAnsi="Times New Roman" w:cs="Times New Roman"/>
                <w:color w:val="auto"/>
                <w:sz w:val="15"/>
                <w:szCs w:val="15"/>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430" w:type="dxa"/>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p>
        </w:tc>
        <w:tc>
          <w:tcPr>
            <w:tcW w:w="196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废水治理（万元）</w:t>
            </w:r>
          </w:p>
        </w:tc>
        <w:tc>
          <w:tcPr>
            <w:tcW w:w="828"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b/>
                <w:bCs/>
                <w:color w:val="auto"/>
                <w:sz w:val="15"/>
                <w:szCs w:val="15"/>
                <w:highlight w:val="none"/>
                <w:lang w:val="en-US" w:eastAsia="zh-CN"/>
              </w:rPr>
            </w:pPr>
            <w:r>
              <w:rPr>
                <w:rFonts w:hint="eastAsia" w:ascii="Times New Roman" w:hAnsi="Times New Roman" w:cs="Times New Roman"/>
                <w:color w:val="auto"/>
                <w:sz w:val="15"/>
                <w:szCs w:val="15"/>
                <w:highlight w:val="none"/>
                <w:lang w:val="en-US" w:eastAsia="zh-CN"/>
              </w:rPr>
              <w:t>25</w:t>
            </w:r>
          </w:p>
        </w:tc>
        <w:tc>
          <w:tcPr>
            <w:tcW w:w="1379"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废气治理（万元）</w:t>
            </w:r>
          </w:p>
        </w:tc>
        <w:tc>
          <w:tcPr>
            <w:tcW w:w="1097"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b/>
                <w:bCs/>
                <w:color w:val="auto"/>
                <w:sz w:val="15"/>
                <w:szCs w:val="15"/>
                <w:highlight w:val="none"/>
                <w:lang w:val="en-US" w:eastAsia="zh-CN"/>
              </w:rPr>
            </w:pPr>
            <w:r>
              <w:rPr>
                <w:rFonts w:hint="eastAsia" w:ascii="Times New Roman" w:hAnsi="Times New Roman" w:cs="Times New Roman"/>
                <w:color w:val="auto"/>
                <w:sz w:val="15"/>
                <w:szCs w:val="15"/>
                <w:highlight w:val="none"/>
                <w:lang w:val="en-US" w:eastAsia="zh-CN"/>
              </w:rPr>
              <w:t>15</w:t>
            </w:r>
          </w:p>
        </w:tc>
        <w:tc>
          <w:tcPr>
            <w:tcW w:w="150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噪声治理（万元）</w:t>
            </w:r>
          </w:p>
        </w:tc>
        <w:tc>
          <w:tcPr>
            <w:tcW w:w="588" w:type="dxa"/>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eastAsiaTheme="minorEastAsia"/>
                <w:b/>
                <w:bCs/>
                <w:color w:val="auto"/>
                <w:sz w:val="15"/>
                <w:szCs w:val="15"/>
                <w:highlight w:val="none"/>
                <w:lang w:eastAsia="zh-CN"/>
              </w:rPr>
            </w:pPr>
            <w:r>
              <w:rPr>
                <w:rFonts w:hint="eastAsia" w:ascii="Times New Roman" w:hAnsi="Times New Roman" w:cs="Times New Roman"/>
                <w:color w:val="auto"/>
                <w:sz w:val="15"/>
                <w:szCs w:val="15"/>
                <w:highlight w:val="none"/>
                <w:lang w:val="en-US" w:eastAsia="zh-CN"/>
              </w:rPr>
              <w:t>8</w:t>
            </w:r>
          </w:p>
        </w:tc>
        <w:tc>
          <w:tcPr>
            <w:tcW w:w="206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固体废物治理（万元）</w:t>
            </w:r>
          </w:p>
        </w:tc>
        <w:tc>
          <w:tcPr>
            <w:tcW w:w="1920"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color w:val="auto"/>
                <w:sz w:val="15"/>
                <w:szCs w:val="15"/>
                <w:highlight w:val="none"/>
                <w:lang w:val="en-US" w:eastAsia="zh-CN"/>
              </w:rPr>
            </w:pPr>
            <w:r>
              <w:rPr>
                <w:rFonts w:hint="eastAsia" w:ascii="Times New Roman" w:hAnsi="Times New Roman" w:cs="Times New Roman"/>
                <w:color w:val="auto"/>
                <w:sz w:val="15"/>
                <w:szCs w:val="15"/>
                <w:highlight w:val="none"/>
                <w:lang w:val="en-US" w:eastAsia="zh-CN"/>
              </w:rPr>
              <w:t>30</w:t>
            </w:r>
          </w:p>
        </w:tc>
        <w:tc>
          <w:tcPr>
            <w:tcW w:w="165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绿化及生态（万元）</w:t>
            </w:r>
          </w:p>
        </w:tc>
        <w:tc>
          <w:tcPr>
            <w:tcW w:w="554"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其他（万元）</w:t>
            </w:r>
          </w:p>
        </w:tc>
        <w:tc>
          <w:tcPr>
            <w:tcW w:w="794"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b/>
                <w:bCs/>
                <w:color w:val="auto"/>
                <w:sz w:val="15"/>
                <w:szCs w:val="15"/>
                <w:highlight w:val="none"/>
                <w:lang w:val="en-US" w:eastAsia="zh-CN"/>
              </w:rPr>
            </w:pPr>
            <w:r>
              <w:rPr>
                <w:rFonts w:hint="eastAsia" w:ascii="Times New Roman" w:hAnsi="Times New Roman" w:cs="Times New Roman"/>
                <w:color w:val="auto"/>
                <w:sz w:val="15"/>
                <w:szCs w:val="15"/>
                <w:highlight w:val="none"/>
                <w:lang w:val="en-US" w:eastAsia="zh-CN"/>
              </w:rPr>
              <w:t>102</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430" w:type="dxa"/>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p>
        </w:tc>
        <w:tc>
          <w:tcPr>
            <w:tcW w:w="196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新增废水处理设施能力</w:t>
            </w:r>
          </w:p>
        </w:tc>
        <w:tc>
          <w:tcPr>
            <w:tcW w:w="5396" w:type="dxa"/>
            <w:gridSpan w:val="6"/>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color w:val="auto"/>
                <w:sz w:val="15"/>
                <w:szCs w:val="15"/>
                <w:highlight w:val="none"/>
              </w:rPr>
              <w:t>/</w:t>
            </w:r>
          </w:p>
        </w:tc>
        <w:tc>
          <w:tcPr>
            <w:tcW w:w="206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新增废气处理设施能力</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65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年平均工作时</w:t>
            </w:r>
          </w:p>
        </w:tc>
        <w:tc>
          <w:tcPr>
            <w:tcW w:w="2450" w:type="dxa"/>
            <w:gridSpan w:val="4"/>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b/>
                <w:bCs/>
                <w:color w:val="auto"/>
                <w:sz w:val="15"/>
                <w:szCs w:val="15"/>
                <w:highlight w:val="none"/>
                <w:lang w:val="en-US" w:eastAsia="zh-CN"/>
              </w:rPr>
            </w:pPr>
            <w:r>
              <w:rPr>
                <w:rFonts w:hint="eastAsia" w:ascii="Times New Roman" w:hAnsi="Times New Roman" w:cs="Times New Roman"/>
                <w:color w:val="auto"/>
                <w:sz w:val="15"/>
                <w:szCs w:val="15"/>
                <w:highlight w:val="none"/>
                <w:lang w:val="en-US" w:eastAsia="zh-CN"/>
              </w:rPr>
              <w:t>5400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2394" w:type="dxa"/>
            <w:gridSpan w:val="4"/>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运营单位</w:t>
            </w:r>
          </w:p>
        </w:tc>
        <w:tc>
          <w:tcPr>
            <w:tcW w:w="4285" w:type="dxa"/>
            <w:gridSpan w:val="4"/>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eastAsiaTheme="minorEastAsia"/>
                <w:b/>
                <w:bCs/>
                <w:color w:val="auto"/>
                <w:sz w:val="15"/>
                <w:szCs w:val="15"/>
                <w:highlight w:val="none"/>
                <w:lang w:eastAsia="zh-CN"/>
              </w:rPr>
            </w:pPr>
            <w:r>
              <w:rPr>
                <w:rFonts w:hint="eastAsia" w:ascii="Times New Roman" w:hAnsi="Times New Roman" w:cs="Times New Roman"/>
                <w:color w:val="auto"/>
                <w:sz w:val="15"/>
                <w:szCs w:val="15"/>
                <w:highlight w:val="none"/>
                <w:lang w:eastAsia="zh-CN"/>
              </w:rPr>
              <w:t>宁波市鄞州勤锦金属回收有限公司</w:t>
            </w:r>
          </w:p>
        </w:tc>
        <w:tc>
          <w:tcPr>
            <w:tcW w:w="3173" w:type="dxa"/>
            <w:gridSpan w:val="4"/>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运营单位社会统一信用代码（或组织机构代码）</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65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验收时间</w:t>
            </w:r>
          </w:p>
        </w:tc>
        <w:tc>
          <w:tcPr>
            <w:tcW w:w="2450" w:type="dxa"/>
            <w:gridSpan w:val="4"/>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color w:val="auto"/>
                <w:sz w:val="15"/>
                <w:szCs w:val="15"/>
                <w:highlight w:val="none"/>
                <w:lang w:eastAsia="zh-CN"/>
              </w:rPr>
            </w:pPr>
            <w:r>
              <w:rPr>
                <w:rFonts w:hint="eastAsia" w:ascii="Times New Roman" w:hAnsi="Times New Roman" w:cs="Times New Roman"/>
                <w:color w:val="auto"/>
                <w:sz w:val="15"/>
                <w:szCs w:val="15"/>
                <w:highlight w:val="none"/>
                <w:lang w:eastAsia="zh-CN"/>
              </w:rPr>
              <w:t>2022年1月11日~1月12日</w:t>
            </w:r>
          </w:p>
          <w:p>
            <w:pPr>
              <w:spacing w:line="240" w:lineRule="exact"/>
              <w:jc w:val="center"/>
              <w:rPr>
                <w:rFonts w:hint="eastAsia" w:ascii="Times New Roman" w:hAnsi="Times New Roman" w:cs="Times New Roman" w:eastAsiaTheme="minorEastAsia"/>
                <w:b/>
                <w:bCs/>
                <w:color w:val="auto"/>
                <w:sz w:val="15"/>
                <w:szCs w:val="15"/>
                <w:highlight w:val="none"/>
                <w:lang w:eastAsia="zh-CN"/>
              </w:rPr>
            </w:pPr>
            <w:r>
              <w:rPr>
                <w:rFonts w:hint="eastAsia" w:ascii="Times New Roman" w:hAnsi="Times New Roman" w:cs="Times New Roman"/>
                <w:color w:val="auto"/>
                <w:sz w:val="15"/>
                <w:szCs w:val="15"/>
                <w:highlight w:val="none"/>
                <w:lang w:eastAsia="zh-CN"/>
              </w:rPr>
              <w:t>2022年</w:t>
            </w:r>
            <w:r>
              <w:rPr>
                <w:rFonts w:hint="eastAsia" w:ascii="Times New Roman" w:hAnsi="Times New Roman" w:cs="Times New Roman"/>
                <w:color w:val="auto"/>
                <w:sz w:val="15"/>
                <w:szCs w:val="15"/>
                <w:highlight w:val="none"/>
                <w:lang w:val="en-US" w:eastAsia="zh-CN"/>
              </w:rPr>
              <w:t>2</w:t>
            </w:r>
            <w:r>
              <w:rPr>
                <w:rFonts w:hint="eastAsia" w:ascii="Times New Roman" w:hAnsi="Times New Roman" w:cs="Times New Roman"/>
                <w:color w:val="auto"/>
                <w:sz w:val="15"/>
                <w:szCs w:val="15"/>
                <w:highlight w:val="none"/>
                <w:lang w:eastAsia="zh-CN"/>
              </w:rPr>
              <w:t>月</w:t>
            </w:r>
            <w:r>
              <w:rPr>
                <w:rFonts w:hint="eastAsia" w:ascii="Times New Roman" w:hAnsi="Times New Roman" w:cs="Times New Roman"/>
                <w:color w:val="auto"/>
                <w:sz w:val="15"/>
                <w:szCs w:val="15"/>
                <w:highlight w:val="none"/>
                <w:lang w:val="en-US" w:eastAsia="zh-CN"/>
              </w:rPr>
              <w:t>22</w:t>
            </w:r>
            <w:r>
              <w:rPr>
                <w:rFonts w:hint="eastAsia" w:ascii="Times New Roman" w:hAnsi="Times New Roman" w:cs="Times New Roman"/>
                <w:color w:val="auto"/>
                <w:sz w:val="15"/>
                <w:szCs w:val="15"/>
                <w:highlight w:val="none"/>
                <w:lang w:eastAsia="zh-CN"/>
              </w:rPr>
              <w:t>日~</w:t>
            </w:r>
            <w:r>
              <w:rPr>
                <w:rFonts w:hint="eastAsia" w:ascii="Times New Roman" w:hAnsi="Times New Roman" w:cs="Times New Roman"/>
                <w:color w:val="auto"/>
                <w:sz w:val="15"/>
                <w:szCs w:val="15"/>
                <w:highlight w:val="none"/>
                <w:lang w:val="en-US" w:eastAsia="zh-CN"/>
              </w:rPr>
              <w:t>2</w:t>
            </w:r>
            <w:r>
              <w:rPr>
                <w:rFonts w:hint="eastAsia" w:ascii="Times New Roman" w:hAnsi="Times New Roman" w:cs="Times New Roman"/>
                <w:color w:val="auto"/>
                <w:sz w:val="15"/>
                <w:szCs w:val="15"/>
                <w:highlight w:val="none"/>
                <w:lang w:eastAsia="zh-CN"/>
              </w:rPr>
              <w:t>月</w:t>
            </w:r>
            <w:r>
              <w:rPr>
                <w:rFonts w:hint="eastAsia" w:ascii="Times New Roman" w:hAnsi="Times New Roman" w:cs="Times New Roman"/>
                <w:color w:val="auto"/>
                <w:sz w:val="15"/>
                <w:szCs w:val="15"/>
                <w:highlight w:val="none"/>
                <w:lang w:val="en-US" w:eastAsia="zh-CN"/>
              </w:rPr>
              <w:t>23</w:t>
            </w:r>
            <w:r>
              <w:rPr>
                <w:rFonts w:hint="eastAsia" w:ascii="Times New Roman" w:hAnsi="Times New Roman" w:cs="Times New Roman"/>
                <w:color w:val="auto"/>
                <w:sz w:val="15"/>
                <w:szCs w:val="15"/>
                <w:highlight w:val="none"/>
                <w:lang w:eastAsia="zh-CN"/>
              </w:rPr>
              <w:t>日</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598" w:type="dxa"/>
            <w:gridSpan w:val="2"/>
            <w:vMerge w:val="restart"/>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污染</w:t>
            </w:r>
          </w:p>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物排</w:t>
            </w:r>
          </w:p>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放达</w:t>
            </w:r>
          </w:p>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标与</w:t>
            </w:r>
          </w:p>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总量</w:t>
            </w:r>
          </w:p>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控制（工</w:t>
            </w:r>
          </w:p>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业建</w:t>
            </w:r>
          </w:p>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设项</w:t>
            </w:r>
          </w:p>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目详填）</w:t>
            </w:r>
          </w:p>
        </w:tc>
        <w:tc>
          <w:tcPr>
            <w:tcW w:w="1796"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污染物</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原有排</w:t>
            </w:r>
          </w:p>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放量(1)</w:t>
            </w:r>
          </w:p>
        </w:tc>
        <w:tc>
          <w:tcPr>
            <w:tcW w:w="1379"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本期工程实际排放浓度(2)</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本期工程允许排放浓度(3)</w:t>
            </w:r>
          </w:p>
        </w:tc>
        <w:tc>
          <w:tcPr>
            <w:tcW w:w="981"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本期工程产生量(4)</w:t>
            </w:r>
          </w:p>
        </w:tc>
        <w:tc>
          <w:tcPr>
            <w:tcW w:w="1111"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本期工程自身削减量(5)</w:t>
            </w:r>
          </w:p>
        </w:tc>
        <w:tc>
          <w:tcPr>
            <w:tcW w:w="1086"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本期工程实际排放量(6)</w:t>
            </w:r>
          </w:p>
        </w:tc>
        <w:tc>
          <w:tcPr>
            <w:tcW w:w="976"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本期工程核定排放总量(7)</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本期工程“以新带老”削减量(8)</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全厂实际排放总量(9)</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全厂核定排放总量(10)</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区域平衡替代削减量(11)</w:t>
            </w:r>
          </w:p>
        </w:tc>
        <w:tc>
          <w:tcPr>
            <w:tcW w:w="794"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排放增减量(12)</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1" w:hRule="atLeast"/>
          <w:jc w:val="center"/>
        </w:trPr>
        <w:tc>
          <w:tcPr>
            <w:tcW w:w="598" w:type="dxa"/>
            <w:gridSpan w:val="2"/>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p>
        </w:tc>
        <w:tc>
          <w:tcPr>
            <w:tcW w:w="1796"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废水</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379"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81"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111"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086"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76"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794"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598" w:type="dxa"/>
            <w:gridSpan w:val="2"/>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p>
        </w:tc>
        <w:tc>
          <w:tcPr>
            <w:tcW w:w="1796"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化学需氧量</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379"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color w:val="auto"/>
                <w:sz w:val="15"/>
                <w:szCs w:val="15"/>
                <w:highlight w:val="none"/>
                <w:lang w:val="en-US" w:eastAsia="zh-CN"/>
              </w:rPr>
            </w:pPr>
            <w:r>
              <w:rPr>
                <w:rFonts w:hint="eastAsia" w:ascii="Times New Roman" w:hAnsi="Times New Roman" w:cs="Times New Roman"/>
                <w:color w:val="auto"/>
                <w:sz w:val="15"/>
                <w:szCs w:val="15"/>
                <w:highlight w:val="none"/>
                <w:lang w:val="en-US" w:eastAsia="zh-CN"/>
              </w:rPr>
              <w:t>12</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500</w:t>
            </w:r>
          </w:p>
        </w:tc>
        <w:tc>
          <w:tcPr>
            <w:tcW w:w="981"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111"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086"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color w:val="auto"/>
                <w:sz w:val="15"/>
                <w:szCs w:val="15"/>
                <w:highlight w:val="none"/>
                <w:lang w:val="en-US" w:eastAsia="zh-CN"/>
              </w:rPr>
            </w:pPr>
            <w:r>
              <w:rPr>
                <w:rFonts w:hint="eastAsia" w:ascii="Times New Roman" w:hAnsi="Times New Roman" w:cs="Times New Roman"/>
                <w:color w:val="auto"/>
                <w:sz w:val="15"/>
                <w:szCs w:val="15"/>
                <w:highlight w:val="none"/>
                <w:lang w:val="en-US" w:eastAsia="zh-CN"/>
              </w:rPr>
              <w:t>0.039</w:t>
            </w:r>
          </w:p>
        </w:tc>
        <w:tc>
          <w:tcPr>
            <w:tcW w:w="976"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color w:val="auto"/>
                <w:sz w:val="15"/>
                <w:szCs w:val="15"/>
                <w:highlight w:val="none"/>
                <w:lang w:val="en-US" w:eastAsia="zh-CN"/>
              </w:rPr>
            </w:pPr>
            <w:r>
              <w:rPr>
                <w:rFonts w:hint="eastAsia" w:ascii="Times New Roman" w:hAnsi="Times New Roman" w:cs="Times New Roman"/>
                <w:color w:val="auto"/>
                <w:sz w:val="15"/>
                <w:szCs w:val="15"/>
                <w:highlight w:val="none"/>
                <w:lang w:val="en-US" w:eastAsia="zh-CN"/>
              </w:rPr>
              <w:t>0.044</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794"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color w:val="auto"/>
                <w:kern w:val="2"/>
                <w:sz w:val="15"/>
                <w:szCs w:val="15"/>
                <w:highlight w:val="none"/>
                <w:lang w:val="en-US" w:eastAsia="zh-CN" w:bidi="ar-SA"/>
              </w:rPr>
            </w:pPr>
            <w:r>
              <w:rPr>
                <w:rFonts w:hint="eastAsia" w:ascii="Times New Roman" w:hAnsi="Times New Roman" w:cs="Times New Roman"/>
                <w:color w:val="auto"/>
                <w:sz w:val="15"/>
                <w:szCs w:val="15"/>
                <w:highlight w:val="none"/>
                <w:lang w:val="en-US" w:eastAsia="zh-CN"/>
              </w:rPr>
              <w:t>+0.039</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598" w:type="dxa"/>
            <w:gridSpan w:val="2"/>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p>
        </w:tc>
        <w:tc>
          <w:tcPr>
            <w:tcW w:w="1796"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氨氮</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379"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color w:val="auto"/>
                <w:sz w:val="15"/>
                <w:szCs w:val="15"/>
                <w:highlight w:val="none"/>
                <w:lang w:val="en-US" w:eastAsia="zh-CN"/>
              </w:rPr>
            </w:pPr>
            <w:r>
              <w:rPr>
                <w:rFonts w:hint="eastAsia" w:ascii="Times New Roman" w:hAnsi="Times New Roman" w:cs="Times New Roman"/>
                <w:color w:val="auto"/>
                <w:sz w:val="15"/>
                <w:szCs w:val="15"/>
                <w:highlight w:val="none"/>
                <w:lang w:val="en-US" w:eastAsia="zh-CN"/>
              </w:rPr>
              <w:t>0.610</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35</w:t>
            </w:r>
          </w:p>
        </w:tc>
        <w:tc>
          <w:tcPr>
            <w:tcW w:w="981"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111"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086"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color w:val="auto"/>
                <w:sz w:val="15"/>
                <w:szCs w:val="15"/>
                <w:highlight w:val="none"/>
                <w:lang w:val="en-US" w:eastAsia="zh-CN"/>
              </w:rPr>
            </w:pPr>
            <w:r>
              <w:rPr>
                <w:rFonts w:hint="eastAsia" w:ascii="Times New Roman" w:hAnsi="Times New Roman" w:cs="Times New Roman"/>
                <w:color w:val="auto"/>
                <w:sz w:val="15"/>
                <w:szCs w:val="15"/>
                <w:highlight w:val="none"/>
                <w:lang w:val="en-US" w:eastAsia="zh-CN"/>
              </w:rPr>
              <w:t>0.002</w:t>
            </w:r>
          </w:p>
        </w:tc>
        <w:tc>
          <w:tcPr>
            <w:tcW w:w="976"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color w:val="auto"/>
                <w:sz w:val="15"/>
                <w:szCs w:val="15"/>
                <w:highlight w:val="none"/>
                <w:lang w:val="en-US" w:eastAsia="zh-CN"/>
              </w:rPr>
            </w:pPr>
            <w:r>
              <w:rPr>
                <w:rFonts w:hint="eastAsia" w:ascii="Times New Roman" w:hAnsi="Times New Roman" w:cs="Times New Roman"/>
                <w:color w:val="auto"/>
                <w:sz w:val="15"/>
                <w:szCs w:val="15"/>
                <w:highlight w:val="none"/>
                <w:lang w:val="en-US" w:eastAsia="zh-CN"/>
              </w:rPr>
              <w:t>0.002</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794"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color w:val="auto"/>
                <w:kern w:val="2"/>
                <w:sz w:val="15"/>
                <w:szCs w:val="15"/>
                <w:highlight w:val="none"/>
                <w:lang w:val="en-US" w:eastAsia="zh-CN" w:bidi="ar-SA"/>
              </w:rPr>
            </w:pPr>
            <w:r>
              <w:rPr>
                <w:rFonts w:hint="eastAsia" w:ascii="Times New Roman" w:hAnsi="Times New Roman" w:cs="Times New Roman"/>
                <w:color w:val="auto"/>
                <w:sz w:val="15"/>
                <w:szCs w:val="15"/>
                <w:highlight w:val="none"/>
                <w:lang w:val="en-US" w:eastAsia="zh-CN"/>
              </w:rPr>
              <w:t>+0.002</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598" w:type="dxa"/>
            <w:gridSpan w:val="2"/>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p>
        </w:tc>
        <w:tc>
          <w:tcPr>
            <w:tcW w:w="1796"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石油类</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379"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81"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111"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086"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76"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794"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598" w:type="dxa"/>
            <w:gridSpan w:val="2"/>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p>
        </w:tc>
        <w:tc>
          <w:tcPr>
            <w:tcW w:w="1796"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废气</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379"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81"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111"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086"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76"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794"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598" w:type="dxa"/>
            <w:gridSpan w:val="2"/>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p>
        </w:tc>
        <w:tc>
          <w:tcPr>
            <w:tcW w:w="1796"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二氧化硫</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379"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81"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111"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086"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76"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794"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598" w:type="dxa"/>
            <w:gridSpan w:val="2"/>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p>
        </w:tc>
        <w:tc>
          <w:tcPr>
            <w:tcW w:w="1796"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烟尘</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379"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81"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111"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086"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76"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794"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598" w:type="dxa"/>
            <w:gridSpan w:val="2"/>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p>
        </w:tc>
        <w:tc>
          <w:tcPr>
            <w:tcW w:w="1796"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工业粉尘</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379"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81"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111"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086"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76"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794"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598" w:type="dxa"/>
            <w:gridSpan w:val="2"/>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p>
        </w:tc>
        <w:tc>
          <w:tcPr>
            <w:tcW w:w="1796"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氮氧化物</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379"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81"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111"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086"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76"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794"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170" w:hRule="atLeast"/>
          <w:jc w:val="center"/>
        </w:trPr>
        <w:tc>
          <w:tcPr>
            <w:tcW w:w="598" w:type="dxa"/>
            <w:gridSpan w:val="2"/>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p>
        </w:tc>
        <w:tc>
          <w:tcPr>
            <w:tcW w:w="1796"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工业固体废物</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379"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81"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color w:val="auto"/>
                <w:sz w:val="15"/>
                <w:szCs w:val="15"/>
                <w:highlight w:val="none"/>
                <w:lang w:val="en-US" w:eastAsia="zh-CN"/>
              </w:rPr>
            </w:pPr>
            <w:r>
              <w:rPr>
                <w:rFonts w:hint="eastAsia" w:ascii="Times New Roman" w:hAnsi="Times New Roman" w:cs="Times New Roman"/>
                <w:color w:val="auto"/>
                <w:sz w:val="15"/>
                <w:szCs w:val="15"/>
                <w:highlight w:val="none"/>
                <w:lang w:val="en-US" w:eastAsia="zh-CN"/>
              </w:rPr>
              <w:t>6.155</w:t>
            </w:r>
          </w:p>
        </w:tc>
        <w:tc>
          <w:tcPr>
            <w:tcW w:w="1111" w:type="dxa"/>
            <w:gridSpan w:val="2"/>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color w:val="auto"/>
                <w:sz w:val="15"/>
                <w:szCs w:val="15"/>
                <w:highlight w:val="none"/>
                <w:lang w:val="en-US" w:eastAsia="zh-CN"/>
              </w:rPr>
            </w:pPr>
            <w:r>
              <w:rPr>
                <w:rFonts w:hint="eastAsia" w:ascii="Times New Roman" w:hAnsi="Times New Roman" w:cs="Times New Roman"/>
                <w:color w:val="auto"/>
                <w:sz w:val="15"/>
                <w:szCs w:val="15"/>
                <w:highlight w:val="none"/>
                <w:lang w:val="en-US" w:eastAsia="zh-CN"/>
              </w:rPr>
              <w:t>6.155</w:t>
            </w:r>
          </w:p>
        </w:tc>
        <w:tc>
          <w:tcPr>
            <w:tcW w:w="1086"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0</w:t>
            </w:r>
          </w:p>
        </w:tc>
        <w:tc>
          <w:tcPr>
            <w:tcW w:w="976"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0</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794"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598" w:type="dxa"/>
            <w:gridSpan w:val="2"/>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p>
        </w:tc>
        <w:tc>
          <w:tcPr>
            <w:tcW w:w="1202"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b/>
                <w:bCs/>
                <w:color w:val="auto"/>
                <w:sz w:val="15"/>
                <w:szCs w:val="15"/>
                <w:highlight w:val="none"/>
              </w:rPr>
              <w:t>与项目有关的其他特征污染物</w:t>
            </w:r>
          </w:p>
        </w:tc>
        <w:tc>
          <w:tcPr>
            <w:tcW w:w="594"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highlight w:val="none"/>
              </w:rPr>
            </w:pPr>
            <w:r>
              <w:rPr>
                <w:rFonts w:ascii="Times New Roman" w:hAnsi="Times New Roman" w:cs="Times New Roman"/>
                <w:color w:val="auto"/>
                <w:sz w:val="15"/>
                <w:szCs w:val="15"/>
                <w:highlight w:val="none"/>
              </w:rPr>
              <w:t>VOCs</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379"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81"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111"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086"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color w:val="auto"/>
                <w:sz w:val="15"/>
                <w:szCs w:val="15"/>
                <w:highlight w:val="none"/>
                <w:lang w:val="en-US" w:eastAsia="zh-CN"/>
              </w:rPr>
            </w:pPr>
            <w:r>
              <w:rPr>
                <w:rFonts w:hint="eastAsia" w:ascii="Times New Roman" w:hAnsi="Times New Roman" w:cs="Times New Roman"/>
                <w:color w:val="auto"/>
                <w:sz w:val="15"/>
                <w:szCs w:val="15"/>
                <w:highlight w:val="none"/>
                <w:lang w:val="en-US" w:eastAsia="zh-CN"/>
              </w:rPr>
              <w:t>0.12</w:t>
            </w:r>
          </w:p>
        </w:tc>
        <w:tc>
          <w:tcPr>
            <w:tcW w:w="976"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w:t>
            </w:r>
          </w:p>
        </w:tc>
        <w:tc>
          <w:tcPr>
            <w:tcW w:w="794"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color w:val="auto"/>
                <w:sz w:val="15"/>
                <w:szCs w:val="15"/>
                <w:highlight w:val="none"/>
                <w:lang w:val="en-US" w:eastAsia="zh-CN"/>
              </w:rPr>
            </w:pPr>
            <w:r>
              <w:rPr>
                <w:rFonts w:hint="eastAsia" w:ascii="Times New Roman" w:hAnsi="Times New Roman" w:cs="Times New Roman"/>
                <w:color w:val="auto"/>
                <w:sz w:val="15"/>
                <w:szCs w:val="15"/>
                <w:highlight w:val="none"/>
                <w:lang w:val="en-US" w:eastAsia="zh-CN"/>
              </w:rPr>
              <w:t>+0.12</w:t>
            </w:r>
          </w:p>
        </w:tc>
      </w:tr>
    </w:tbl>
    <w:p>
      <w:pPr>
        <w:spacing w:line="240" w:lineRule="exact"/>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注：1、排放增减量：（+）表示增加，（-）表示减少。2、(12)=(6)-(8)-(11)，（9）= (4)-(5)-(8)- (11) +（1）。3、计量单位：废水排放量——万吨/年；废气排放量——万标立方米/年；工业固体废物排放量——万吨/年；水污染物排放浓度——毫克/升。</w:t>
      </w:r>
    </w:p>
    <w:sectPr>
      <w:pgSz w:w="16838" w:h="11906" w:orient="landscape"/>
      <w:pgMar w:top="1134" w:right="1440" w:bottom="1134" w:left="1440" w:header="680" w:footer="992" w:gutter="0"/>
      <w:pgBorders>
        <w:top w:val="none" w:sz="0" w:space="0"/>
        <w:left w:val="none" w:sz="0" w:space="0"/>
        <w:bottom w:val="none" w:sz="0" w:space="0"/>
        <w:right w:val="none" w:sz="0" w:space="0"/>
      </w:pgBorders>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0000000000000000000"/>
    <w:charset w:val="86"/>
    <w:family w:val="decorative"/>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Lucida Console">
    <w:panose1 w:val="020B0609040504020204"/>
    <w:charset w:val="00"/>
    <w:family w:val="modern"/>
    <w:pitch w:val="default"/>
    <w:sig w:usb0="8000028F" w:usb1="00001800" w:usb2="00000000" w:usb3="00000000" w:csb0="0000001F" w:csb1="D7D7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9"/>
                            <w:rPr>
                              <w:rFonts w:ascii="Times New Roman" w:hAnsi="Times New Roman" w:cs="Times New Roman"/>
                            </w:rPr>
                          </w:pPr>
                          <w:r>
                            <w:rPr>
                              <w:rFonts w:hint="eastAsia" w:ascii="Times New Roman" w:hAnsi="Times New Roman" w:cs="Times New Roman"/>
                            </w:rPr>
                            <w:t xml:space="preserve">第 </w:t>
                          </w:r>
                          <w:r>
                            <w:rPr>
                              <w:rFonts w:hint="eastAsia" w:ascii="Times New Roman" w:hAnsi="Times New Roman" w:cs="Times New Roman"/>
                            </w:rPr>
                            <w:fldChar w:fldCharType="begin"/>
                          </w:r>
                          <w:r>
                            <w:rPr>
                              <w:rFonts w:hint="eastAsia" w:ascii="Times New Roman" w:hAnsi="Times New Roman" w:cs="Times New Roman"/>
                            </w:rPr>
                            <w:instrText xml:space="preserve"> PAGE  \* MERGEFORMAT </w:instrText>
                          </w:r>
                          <w:r>
                            <w:rPr>
                              <w:rFonts w:hint="eastAsia" w:ascii="Times New Roman" w:hAnsi="Times New Roman" w:cs="Times New Roman"/>
                            </w:rPr>
                            <w:fldChar w:fldCharType="separate"/>
                          </w:r>
                          <w:r>
                            <w:rPr>
                              <w:rFonts w:ascii="Times New Roman" w:hAnsi="Times New Roman" w:cs="Times New Roman"/>
                            </w:rPr>
                            <w:t>53</w:t>
                          </w:r>
                          <w:r>
                            <w:rPr>
                              <w:rFonts w:hint="eastAsia" w:ascii="Times New Roman" w:hAnsi="Times New Roman" w:cs="Times New Roman"/>
                            </w:rPr>
                            <w:fldChar w:fldCharType="end"/>
                          </w:r>
                          <w:r>
                            <w:rPr>
                              <w:rFonts w:hint="eastAsia" w:ascii="Times New Roman" w:hAnsi="Times New Roman" w:cs="Times New Roman"/>
                            </w:rPr>
                            <w:t xml:space="preserve"> 页 共 </w:t>
                          </w:r>
                          <w:r>
                            <w:rPr>
                              <w:rFonts w:hint="eastAsia" w:ascii="Times New Roman" w:hAnsi="Times New Roman" w:cs="Times New Roman"/>
                              <w:lang w:val="en-US" w:eastAsia="zh-CN"/>
                            </w:rPr>
                            <w:t>45</w:t>
                          </w:r>
                          <w:r>
                            <w:rPr>
                              <w:rFonts w:hint="eastAsia" w:ascii="Times New Roman" w:hAnsi="Times New Roman" w:cs="Times New Roman"/>
                            </w:rPr>
                            <w:t xml:space="preserve"> 页</w:t>
                          </w:r>
                        </w:p>
                      </w:txbxContent>
                    </wps:txbx>
                    <wps:bodyPr wrap="none" lIns="0" tIns="0" rIns="0" bIns="0" upright="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I8XdTyQEAAJoDAAAOAAAAAAAAAAEAIAAAAB4BAABkcnMvZTJvRG9j&#10;LnhtbFBLBQYAAAAABgAGAFkBAABZBQAAAAA=&#10;">
              <v:fill on="f" focussize="0,0"/>
              <v:stroke on="f"/>
              <v:imagedata o:title=""/>
              <o:lock v:ext="edit" aspectratio="f"/>
              <v:textbox inset="0mm,0mm,0mm,0mm" style="mso-fit-shape-to-text:t;">
                <w:txbxContent>
                  <w:p>
                    <w:pPr>
                      <w:pStyle w:val="19"/>
                      <w:rPr>
                        <w:rFonts w:ascii="Times New Roman" w:hAnsi="Times New Roman" w:cs="Times New Roman"/>
                      </w:rPr>
                    </w:pPr>
                    <w:r>
                      <w:rPr>
                        <w:rFonts w:hint="eastAsia" w:ascii="Times New Roman" w:hAnsi="Times New Roman" w:cs="Times New Roman"/>
                      </w:rPr>
                      <w:t xml:space="preserve">第 </w:t>
                    </w:r>
                    <w:r>
                      <w:rPr>
                        <w:rFonts w:hint="eastAsia" w:ascii="Times New Roman" w:hAnsi="Times New Roman" w:cs="Times New Roman"/>
                      </w:rPr>
                      <w:fldChar w:fldCharType="begin"/>
                    </w:r>
                    <w:r>
                      <w:rPr>
                        <w:rFonts w:hint="eastAsia" w:ascii="Times New Roman" w:hAnsi="Times New Roman" w:cs="Times New Roman"/>
                      </w:rPr>
                      <w:instrText xml:space="preserve"> PAGE  \* MERGEFORMAT </w:instrText>
                    </w:r>
                    <w:r>
                      <w:rPr>
                        <w:rFonts w:hint="eastAsia" w:ascii="Times New Roman" w:hAnsi="Times New Roman" w:cs="Times New Roman"/>
                      </w:rPr>
                      <w:fldChar w:fldCharType="separate"/>
                    </w:r>
                    <w:r>
                      <w:rPr>
                        <w:rFonts w:ascii="Times New Roman" w:hAnsi="Times New Roman" w:cs="Times New Roman"/>
                      </w:rPr>
                      <w:t>53</w:t>
                    </w:r>
                    <w:r>
                      <w:rPr>
                        <w:rFonts w:hint="eastAsia" w:ascii="Times New Roman" w:hAnsi="Times New Roman" w:cs="Times New Roman"/>
                      </w:rPr>
                      <w:fldChar w:fldCharType="end"/>
                    </w:r>
                    <w:r>
                      <w:rPr>
                        <w:rFonts w:hint="eastAsia" w:ascii="Times New Roman" w:hAnsi="Times New Roman" w:cs="Times New Roman"/>
                      </w:rPr>
                      <w:t xml:space="preserve"> 页 共 </w:t>
                    </w:r>
                    <w:r>
                      <w:rPr>
                        <w:rFonts w:hint="eastAsia" w:ascii="Times New Roman" w:hAnsi="Times New Roman" w:cs="Times New Roman"/>
                        <w:lang w:val="en-US" w:eastAsia="zh-CN"/>
                      </w:rPr>
                      <w:t>45</w:t>
                    </w:r>
                    <w:r>
                      <w:rPr>
                        <w:rFonts w:hint="eastAsia" w:ascii="Times New Roman" w:hAnsi="Times New Roman" w:cs="Times New Roman"/>
                      </w:rPr>
                      <w:t xml:space="preserve"> 页</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spacing w:before="0" w:line="240" w:lineRule="auto"/>
      <w:ind w:firstLine="0" w:firstLineChars="0"/>
      <w:rPr>
        <w:rFonts w:hint="eastAsia"/>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31750">
                        <a:noFill/>
                      </a:ln>
                    </wps:spPr>
                    <wps:txbx>
                      <w:txbxContent>
                        <w:p>
                          <w:pPr>
                            <w:pStyle w:val="19"/>
                          </w:pPr>
                          <w:r>
                            <w:fldChar w:fldCharType="begin"/>
                          </w:r>
                          <w:r>
                            <w:instrText xml:space="preserve"> PAGE  \* MERGEFORMAT </w:instrText>
                          </w:r>
                          <w:r>
                            <w:fldChar w:fldCharType="separate"/>
                          </w:r>
                          <w:r>
                            <w:t>66</w:t>
                          </w:r>
                          <w:r>
                            <w:fldChar w:fldCharType="end"/>
                          </w:r>
                        </w:p>
                      </w:txbxContent>
                    </wps:txbx>
                    <wps:bodyPr wrap="none" lIns="0" tIns="0" rIns="0" bIns="0" upright="0">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&#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NSNcRTSAAAABQEAAA8AAAAAAAAAAQAgAAAAIgAAAGRy&#10;cy9kb3ducmV2LnhtbFBLAQIUABQAAAAIAIdO4kC8/Fmw0gEAAKQDAAAOAAAAAAAAAAEAIAAAACEB&#10;AABkcnMvZTJvRG9jLnhtbFBLBQYAAAAABgAGAFkBAABlBQAAAAA=&#10;">
              <v:fill on="f" focussize="0,0"/>
              <v:stroke on="f" weight="2.5pt"/>
              <v:imagedata o:title=""/>
              <o:lock v:ext="edit" aspectratio="f"/>
              <v:textbox inset="0mm,0mm,0mm,0mm" style="mso-fit-shape-to-text:t;">
                <w:txbxContent>
                  <w:p>
                    <w:pPr>
                      <w:pStyle w:val="19"/>
                    </w:pPr>
                    <w:r>
                      <w:fldChar w:fldCharType="begin"/>
                    </w:r>
                    <w:r>
                      <w:instrText xml:space="preserve"> PAGE  \* MERGEFORMAT </w:instrText>
                    </w:r>
                    <w:r>
                      <w:fldChar w:fldCharType="separate"/>
                    </w:r>
                    <w:r>
                      <w:t>66</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rPr>
        <w:rFonts w:ascii="Times New Roman" w:hAnsi="Times New Roman" w:cs="Times New Roman"/>
      </w:rPr>
    </w:pPr>
  </w:p>
  <w:p>
    <w:pPr>
      <w:pStyle w:val="20"/>
      <w:rPr>
        <w:rFonts w:ascii="Times New Roman" w:hAnsi="Times New Roman" w:cs="Times New Roman"/>
      </w:rPr>
    </w:pPr>
    <w:r>
      <w:rPr>
        <w:rFonts w:hint="eastAsia" w:ascii="Times New Roman" w:hAnsi="Times New Roman" w:cs="Times New Roman"/>
        <w:lang w:eastAsia="zh-CN"/>
      </w:rPr>
      <w:t>宁波市鄞州勤锦金属回收有限公司年回收拆解3万台报废汽车扩建项目</w:t>
    </w:r>
    <w:r>
      <w:rPr>
        <w:rFonts w:hint="eastAsia" w:ascii="Times New Roman" w:hAnsi="Times New Roman" w:cs="Times New Roman"/>
      </w:rPr>
      <w:t>环境保护验收监测报告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spacing w:before="0" w:line="360" w:lineRule="auto"/>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4D02449"/>
    <w:multiLevelType w:val="singleLevel"/>
    <w:tmpl w:val="94D02449"/>
    <w:lvl w:ilvl="0" w:tentative="0">
      <w:start w:val="1"/>
      <w:numFmt w:val="decimal"/>
      <w:suff w:val="nothing"/>
      <w:lvlText w:val="（%1）"/>
      <w:lvlJc w:val="left"/>
    </w:lvl>
  </w:abstractNum>
  <w:abstractNum w:abstractNumId="1">
    <w:nsid w:val="9C819876"/>
    <w:multiLevelType w:val="singleLevel"/>
    <w:tmpl w:val="9C819876"/>
    <w:lvl w:ilvl="0" w:tentative="0">
      <w:start w:val="1"/>
      <w:numFmt w:val="decimal"/>
      <w:suff w:val="nothing"/>
      <w:lvlText w:val="（%1）"/>
      <w:lvlJc w:val="left"/>
    </w:lvl>
  </w:abstractNum>
  <w:abstractNum w:abstractNumId="2">
    <w:nsid w:val="9F50F48C"/>
    <w:multiLevelType w:val="singleLevel"/>
    <w:tmpl w:val="9F50F48C"/>
    <w:lvl w:ilvl="0" w:tentative="0">
      <w:start w:val="1"/>
      <w:numFmt w:val="decimal"/>
      <w:suff w:val="nothing"/>
      <w:lvlText w:val="%1、"/>
      <w:lvlJc w:val="left"/>
    </w:lvl>
  </w:abstractNum>
  <w:abstractNum w:abstractNumId="3">
    <w:nsid w:val="A9940BDA"/>
    <w:multiLevelType w:val="singleLevel"/>
    <w:tmpl w:val="A9940BDA"/>
    <w:lvl w:ilvl="0" w:tentative="0">
      <w:start w:val="2"/>
      <w:numFmt w:val="decimal"/>
      <w:suff w:val="nothing"/>
      <w:lvlText w:val="%1、"/>
      <w:lvlJc w:val="left"/>
    </w:lvl>
  </w:abstractNum>
  <w:abstractNum w:abstractNumId="4">
    <w:nsid w:val="AF304E0D"/>
    <w:multiLevelType w:val="singleLevel"/>
    <w:tmpl w:val="AF304E0D"/>
    <w:lvl w:ilvl="0" w:tentative="0">
      <w:start w:val="1"/>
      <w:numFmt w:val="decimal"/>
      <w:suff w:val="nothing"/>
      <w:lvlText w:val="（%1）"/>
      <w:lvlJc w:val="left"/>
    </w:lvl>
  </w:abstractNum>
  <w:abstractNum w:abstractNumId="5">
    <w:nsid w:val="B2059950"/>
    <w:multiLevelType w:val="singleLevel"/>
    <w:tmpl w:val="B2059950"/>
    <w:lvl w:ilvl="0" w:tentative="0">
      <w:start w:val="7"/>
      <w:numFmt w:val="decimal"/>
      <w:suff w:val="nothing"/>
      <w:lvlText w:val="%1、"/>
      <w:lvlJc w:val="left"/>
    </w:lvl>
  </w:abstractNum>
  <w:abstractNum w:abstractNumId="6">
    <w:nsid w:val="E8A7B32A"/>
    <w:multiLevelType w:val="singleLevel"/>
    <w:tmpl w:val="E8A7B32A"/>
    <w:lvl w:ilvl="0" w:tentative="0">
      <w:start w:val="1"/>
      <w:numFmt w:val="decimal"/>
      <w:suff w:val="nothing"/>
      <w:lvlText w:val="（%1）"/>
      <w:lvlJc w:val="left"/>
    </w:lvl>
  </w:abstractNum>
  <w:abstractNum w:abstractNumId="7">
    <w:nsid w:val="26D5C352"/>
    <w:multiLevelType w:val="singleLevel"/>
    <w:tmpl w:val="26D5C352"/>
    <w:lvl w:ilvl="0" w:tentative="0">
      <w:start w:val="1"/>
      <w:numFmt w:val="decimal"/>
      <w:suff w:val="nothing"/>
      <w:lvlText w:val="%1、"/>
      <w:lvlJc w:val="left"/>
    </w:lvl>
  </w:abstractNum>
  <w:abstractNum w:abstractNumId="8">
    <w:nsid w:val="3B812E4D"/>
    <w:multiLevelType w:val="multilevel"/>
    <w:tmpl w:val="3B812E4D"/>
    <w:lvl w:ilvl="0" w:tentative="0">
      <w:start w:val="1"/>
      <w:numFmt w:val="decimal"/>
      <w:isLgl/>
      <w:suff w:val="space"/>
      <w:lvlText w:val="第%1章"/>
      <w:lvlJc w:val="left"/>
      <w:pPr>
        <w:tabs>
          <w:tab w:val="left" w:pos="0"/>
        </w:tabs>
        <w:ind w:left="0" w:firstLine="0"/>
      </w:pPr>
      <w:rPr>
        <w:rFonts w:hint="default" w:ascii="Times New Roman" w:hAnsi="Times New Roman" w:eastAsia="宋体" w:cs="宋体"/>
        <w:b/>
        <w:sz w:val="44"/>
      </w:rPr>
    </w:lvl>
    <w:lvl w:ilvl="1" w:tentative="0">
      <w:start w:val="1"/>
      <w:numFmt w:val="decimal"/>
      <w:isLgl/>
      <w:suff w:val="nothing"/>
      <w:lvlText w:val="%1.%2 "/>
      <w:lvlJc w:val="left"/>
      <w:pPr>
        <w:tabs>
          <w:tab w:val="left" w:pos="420"/>
        </w:tabs>
        <w:ind w:left="0" w:firstLine="0"/>
      </w:pPr>
      <w:rPr>
        <w:rFonts w:hint="default" w:ascii="Times New Roman" w:hAnsi="Times New Roman" w:eastAsia="宋体" w:cs="宋体"/>
        <w:b/>
        <w:sz w:val="28"/>
        <w:lang w:val="en-US"/>
      </w:rPr>
    </w:lvl>
    <w:lvl w:ilvl="2" w:tentative="0">
      <w:start w:val="1"/>
      <w:numFmt w:val="decimal"/>
      <w:isLgl/>
      <w:suff w:val="nothing"/>
      <w:lvlText w:val="%1.%2.%3 "/>
      <w:lvlJc w:val="left"/>
      <w:pPr>
        <w:tabs>
          <w:tab w:val="left" w:pos="420"/>
        </w:tabs>
        <w:ind w:left="0" w:firstLine="0"/>
      </w:pPr>
      <w:rPr>
        <w:rFonts w:hint="default" w:ascii="Times New Roman" w:hAnsi="Times New Roman" w:eastAsia="宋体" w:cs="宋体"/>
        <w:b/>
        <w:sz w:val="24"/>
      </w:rPr>
    </w:lvl>
    <w:lvl w:ilvl="3" w:tentative="0">
      <w:start w:val="1"/>
      <w:numFmt w:val="decimal"/>
      <w:lvlRestart w:val="1"/>
      <w:pStyle w:val="6"/>
      <w:isLgl/>
      <w:suff w:val="nothing"/>
      <w:lvlText w:val="表%1-%4  "/>
      <w:lvlJc w:val="center"/>
      <w:pPr>
        <w:tabs>
          <w:tab w:val="left" w:pos="420"/>
        </w:tabs>
        <w:ind w:left="0" w:firstLine="0"/>
      </w:pPr>
      <w:rPr>
        <w:rFonts w:hint="default" w:ascii="Times New Roman" w:hAnsi="Times New Roman" w:eastAsia="宋体" w:cs="宋体"/>
        <w:b/>
        <w:sz w:val="21"/>
      </w:rPr>
    </w:lvl>
    <w:lvl w:ilvl="4" w:tentative="0">
      <w:start w:val="1"/>
      <w:numFmt w:val="decimal"/>
      <w:lvlRestart w:val="1"/>
      <w:isLgl/>
      <w:suff w:val="nothing"/>
      <w:lvlText w:val="图%1-%5  "/>
      <w:lvlJc w:val="center"/>
      <w:pPr>
        <w:tabs>
          <w:tab w:val="left" w:pos="0"/>
        </w:tabs>
        <w:ind w:left="0" w:firstLine="0"/>
      </w:pPr>
      <w:rPr>
        <w:rFonts w:hint="default" w:ascii="Times New Roman" w:hAnsi="Times New Roman" w:eastAsia="宋体" w:cs="宋体"/>
        <w:b/>
        <w:sz w:val="21"/>
      </w:rPr>
    </w:lvl>
    <w:lvl w:ilvl="5" w:tentative="0">
      <w:start w:val="1"/>
      <w:numFmt w:val="decimal"/>
      <w:lvlRestart w:val="2"/>
      <w:suff w:val="space"/>
      <w:lvlText w:val="图%1.%2-%6"/>
      <w:lvlJc w:val="left"/>
      <w:pPr>
        <w:ind w:left="1985" w:firstLine="0"/>
      </w:pPr>
      <w:rPr>
        <w:rFonts w:hint="default" w:ascii="Times New Roman" w:hAnsi="Times New Roman" w:eastAsia="宋体" w:cs="宋体"/>
        <w:b/>
        <w:sz w:val="21"/>
      </w:rPr>
    </w:lvl>
    <w:lvl w:ilvl="6" w:tentative="0">
      <w:start w:val="1"/>
      <w:numFmt w:val="decimal"/>
      <w:lvlText w:val="%1.%2.%3.%4.%5.%6.%7."/>
      <w:lvlJc w:val="left"/>
      <w:pPr>
        <w:tabs>
          <w:tab w:val="left" w:pos="1275"/>
        </w:tabs>
        <w:ind w:left="1275" w:hanging="1275"/>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8"/>
        </w:tabs>
        <w:ind w:left="1558" w:hanging="1558"/>
      </w:pPr>
      <w:rPr>
        <w:rFonts w:hint="eastAsia"/>
      </w:rPr>
    </w:lvl>
  </w:abstractNum>
  <w:abstractNum w:abstractNumId="9">
    <w:nsid w:val="40796372"/>
    <w:multiLevelType w:val="singleLevel"/>
    <w:tmpl w:val="40796372"/>
    <w:lvl w:ilvl="0" w:tentative="0">
      <w:start w:val="3"/>
      <w:numFmt w:val="decimal"/>
      <w:suff w:val="nothing"/>
      <w:lvlText w:val="（%1）"/>
      <w:lvlJc w:val="left"/>
    </w:lvl>
  </w:abstractNum>
  <w:abstractNum w:abstractNumId="10">
    <w:nsid w:val="4CEC45CD"/>
    <w:multiLevelType w:val="multilevel"/>
    <w:tmpl w:val="4CEC45CD"/>
    <w:lvl w:ilvl="0" w:tentative="0">
      <w:start w:val="1"/>
      <w:numFmt w:val="decimal"/>
      <w:lvlText w:val="%1"/>
      <w:lvlJc w:val="left"/>
      <w:pPr>
        <w:tabs>
          <w:tab w:val="left" w:pos="0"/>
        </w:tabs>
        <w:ind w:left="0" w:firstLine="0"/>
      </w:pPr>
      <w:rPr>
        <w:rFonts w:hint="eastAsia"/>
      </w:rPr>
    </w:lvl>
    <w:lvl w:ilvl="1" w:tentative="0">
      <w:start w:val="1"/>
      <w:numFmt w:val="decimal"/>
      <w:lvlText w:val="%1.%2"/>
      <w:lvlJc w:val="left"/>
      <w:pPr>
        <w:tabs>
          <w:tab w:val="left" w:pos="0"/>
        </w:tabs>
        <w:ind w:left="0" w:firstLine="0"/>
      </w:pPr>
      <w:rPr>
        <w:rFonts w:hint="eastAsia"/>
      </w:rPr>
    </w:lvl>
    <w:lvl w:ilvl="2" w:tentative="0">
      <w:start w:val="1"/>
      <w:numFmt w:val="decimal"/>
      <w:pStyle w:val="5"/>
      <w:lvlText w:val="%1.%2.%3"/>
      <w:lvlJc w:val="left"/>
      <w:pPr>
        <w:tabs>
          <w:tab w:val="left" w:pos="567"/>
        </w:tabs>
        <w:ind w:left="0" w:firstLine="0"/>
      </w:pPr>
      <w:rPr>
        <w:rFonts w:hint="eastAsia"/>
      </w:rPr>
    </w:lvl>
    <w:lvl w:ilvl="3" w:tentative="0">
      <w:start w:val="1"/>
      <w:numFmt w:val="decimal"/>
      <w:lvlText w:val="%1.%2.%3.%4"/>
      <w:lvlJc w:val="left"/>
      <w:pPr>
        <w:tabs>
          <w:tab w:val="left" w:pos="864"/>
        </w:tabs>
        <w:ind w:left="864" w:hanging="864"/>
      </w:pPr>
      <w:rPr>
        <w:rFonts w:hint="eastAsia" w:ascii="Times New Roman" w:hAnsi="Times New Roman"/>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num w:numId="1">
    <w:abstractNumId w:val="10"/>
  </w:num>
  <w:num w:numId="2">
    <w:abstractNumId w:val="8"/>
  </w:num>
  <w:num w:numId="3">
    <w:abstractNumId w:val="3"/>
  </w:num>
  <w:num w:numId="4">
    <w:abstractNumId w:val="2"/>
  </w:num>
  <w:num w:numId="5">
    <w:abstractNumId w:val="9"/>
  </w:num>
  <w:num w:numId="6">
    <w:abstractNumId w:val="1"/>
  </w:num>
  <w:num w:numId="7">
    <w:abstractNumId w:val="6"/>
  </w:num>
  <w:num w:numId="8">
    <w:abstractNumId w:val="0"/>
  </w:num>
  <w:num w:numId="9">
    <w:abstractNumId w:val="4"/>
  </w:num>
  <w:num w:numId="10">
    <w:abstractNumId w:val="5"/>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drawingGridHorizontalSpacing w:val="21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207A"/>
    <w:rsid w:val="000120C8"/>
    <w:rsid w:val="0001308B"/>
    <w:rsid w:val="00057770"/>
    <w:rsid w:val="0006135C"/>
    <w:rsid w:val="000772C2"/>
    <w:rsid w:val="0008503C"/>
    <w:rsid w:val="00085F71"/>
    <w:rsid w:val="00094A44"/>
    <w:rsid w:val="00095089"/>
    <w:rsid w:val="000E789F"/>
    <w:rsid w:val="000F7F97"/>
    <w:rsid w:val="001272A5"/>
    <w:rsid w:val="00131B79"/>
    <w:rsid w:val="0016577A"/>
    <w:rsid w:val="00185870"/>
    <w:rsid w:val="001A464A"/>
    <w:rsid w:val="001C02AE"/>
    <w:rsid w:val="00206E28"/>
    <w:rsid w:val="002106AC"/>
    <w:rsid w:val="00237F1D"/>
    <w:rsid w:val="00245981"/>
    <w:rsid w:val="00254976"/>
    <w:rsid w:val="002A18A9"/>
    <w:rsid w:val="002A28C5"/>
    <w:rsid w:val="002A371B"/>
    <w:rsid w:val="002B2426"/>
    <w:rsid w:val="002C7608"/>
    <w:rsid w:val="002D31EA"/>
    <w:rsid w:val="002F2E08"/>
    <w:rsid w:val="002F7A1B"/>
    <w:rsid w:val="00303061"/>
    <w:rsid w:val="0031375B"/>
    <w:rsid w:val="003143CD"/>
    <w:rsid w:val="00327261"/>
    <w:rsid w:val="00330213"/>
    <w:rsid w:val="00341347"/>
    <w:rsid w:val="00347C35"/>
    <w:rsid w:val="00350157"/>
    <w:rsid w:val="00380D50"/>
    <w:rsid w:val="00387D21"/>
    <w:rsid w:val="00397DEF"/>
    <w:rsid w:val="003A08E5"/>
    <w:rsid w:val="003B207A"/>
    <w:rsid w:val="003B6EA1"/>
    <w:rsid w:val="003D086B"/>
    <w:rsid w:val="003F3417"/>
    <w:rsid w:val="004134A1"/>
    <w:rsid w:val="00415290"/>
    <w:rsid w:val="00434825"/>
    <w:rsid w:val="00467CA7"/>
    <w:rsid w:val="00491E2F"/>
    <w:rsid w:val="00497860"/>
    <w:rsid w:val="004C381A"/>
    <w:rsid w:val="004D4F5E"/>
    <w:rsid w:val="004F278F"/>
    <w:rsid w:val="00512E56"/>
    <w:rsid w:val="00577F62"/>
    <w:rsid w:val="005A1AF6"/>
    <w:rsid w:val="005A306C"/>
    <w:rsid w:val="005E21F6"/>
    <w:rsid w:val="005E36A2"/>
    <w:rsid w:val="00610264"/>
    <w:rsid w:val="006222D0"/>
    <w:rsid w:val="006512F3"/>
    <w:rsid w:val="00653FC7"/>
    <w:rsid w:val="00654137"/>
    <w:rsid w:val="00665850"/>
    <w:rsid w:val="006669A8"/>
    <w:rsid w:val="00692D9C"/>
    <w:rsid w:val="00697079"/>
    <w:rsid w:val="006B526A"/>
    <w:rsid w:val="006C76CD"/>
    <w:rsid w:val="006E089F"/>
    <w:rsid w:val="006E454F"/>
    <w:rsid w:val="006E792F"/>
    <w:rsid w:val="006F775B"/>
    <w:rsid w:val="00705B78"/>
    <w:rsid w:val="00742614"/>
    <w:rsid w:val="00751855"/>
    <w:rsid w:val="00753E92"/>
    <w:rsid w:val="007561CE"/>
    <w:rsid w:val="00765FDB"/>
    <w:rsid w:val="00771778"/>
    <w:rsid w:val="00771AED"/>
    <w:rsid w:val="007B0159"/>
    <w:rsid w:val="007C4BDA"/>
    <w:rsid w:val="007D2E67"/>
    <w:rsid w:val="007E23DA"/>
    <w:rsid w:val="0080681B"/>
    <w:rsid w:val="00843F58"/>
    <w:rsid w:val="00855F4A"/>
    <w:rsid w:val="00873847"/>
    <w:rsid w:val="008B5121"/>
    <w:rsid w:val="008C5D56"/>
    <w:rsid w:val="00917123"/>
    <w:rsid w:val="00922B69"/>
    <w:rsid w:val="00963FC4"/>
    <w:rsid w:val="00971C9D"/>
    <w:rsid w:val="009769D9"/>
    <w:rsid w:val="009827FD"/>
    <w:rsid w:val="0098616C"/>
    <w:rsid w:val="009925FC"/>
    <w:rsid w:val="009946B0"/>
    <w:rsid w:val="009A07DA"/>
    <w:rsid w:val="009A77A7"/>
    <w:rsid w:val="009D20D0"/>
    <w:rsid w:val="00A03F24"/>
    <w:rsid w:val="00A10F96"/>
    <w:rsid w:val="00A12887"/>
    <w:rsid w:val="00A249CC"/>
    <w:rsid w:val="00A30E76"/>
    <w:rsid w:val="00A77E33"/>
    <w:rsid w:val="00A8225A"/>
    <w:rsid w:val="00A85C07"/>
    <w:rsid w:val="00A94BE9"/>
    <w:rsid w:val="00AA1390"/>
    <w:rsid w:val="00AD6E2F"/>
    <w:rsid w:val="00AE6473"/>
    <w:rsid w:val="00AF6682"/>
    <w:rsid w:val="00B15E96"/>
    <w:rsid w:val="00B6644E"/>
    <w:rsid w:val="00B752B7"/>
    <w:rsid w:val="00B867D2"/>
    <w:rsid w:val="00BA1F00"/>
    <w:rsid w:val="00BB4745"/>
    <w:rsid w:val="00BD69A7"/>
    <w:rsid w:val="00BE226F"/>
    <w:rsid w:val="00BE6161"/>
    <w:rsid w:val="00C033A4"/>
    <w:rsid w:val="00C10780"/>
    <w:rsid w:val="00C522B3"/>
    <w:rsid w:val="00C8057E"/>
    <w:rsid w:val="00C873EB"/>
    <w:rsid w:val="00C905DE"/>
    <w:rsid w:val="00C91179"/>
    <w:rsid w:val="00C932A0"/>
    <w:rsid w:val="00CB0BBA"/>
    <w:rsid w:val="00CB29C5"/>
    <w:rsid w:val="00CC65F5"/>
    <w:rsid w:val="00CF7072"/>
    <w:rsid w:val="00D15FA5"/>
    <w:rsid w:val="00D3099C"/>
    <w:rsid w:val="00D317A8"/>
    <w:rsid w:val="00D331A9"/>
    <w:rsid w:val="00D562C7"/>
    <w:rsid w:val="00D658FD"/>
    <w:rsid w:val="00D7599D"/>
    <w:rsid w:val="00D77544"/>
    <w:rsid w:val="00D80081"/>
    <w:rsid w:val="00D85C5B"/>
    <w:rsid w:val="00D90B14"/>
    <w:rsid w:val="00DF5C12"/>
    <w:rsid w:val="00E03903"/>
    <w:rsid w:val="00E420B9"/>
    <w:rsid w:val="00E53802"/>
    <w:rsid w:val="00E91EA5"/>
    <w:rsid w:val="00E937F0"/>
    <w:rsid w:val="00E941AD"/>
    <w:rsid w:val="00E96C32"/>
    <w:rsid w:val="00EA1F87"/>
    <w:rsid w:val="00EA25DE"/>
    <w:rsid w:val="00EA7F8E"/>
    <w:rsid w:val="00ED1CD2"/>
    <w:rsid w:val="00ED1E44"/>
    <w:rsid w:val="00ED6A07"/>
    <w:rsid w:val="00ED6BB7"/>
    <w:rsid w:val="00EE1939"/>
    <w:rsid w:val="00EF6F71"/>
    <w:rsid w:val="00F04548"/>
    <w:rsid w:val="00F06D36"/>
    <w:rsid w:val="00F11AA5"/>
    <w:rsid w:val="00F17384"/>
    <w:rsid w:val="00F265D8"/>
    <w:rsid w:val="00F3239B"/>
    <w:rsid w:val="00F44A3A"/>
    <w:rsid w:val="00F537A3"/>
    <w:rsid w:val="00F71C2E"/>
    <w:rsid w:val="00F72523"/>
    <w:rsid w:val="00F75B33"/>
    <w:rsid w:val="00FA6B16"/>
    <w:rsid w:val="00FA7621"/>
    <w:rsid w:val="00FB404B"/>
    <w:rsid w:val="00FC6A88"/>
    <w:rsid w:val="00FE2C1C"/>
    <w:rsid w:val="00FE3B7D"/>
    <w:rsid w:val="00FF298E"/>
    <w:rsid w:val="00FF7877"/>
    <w:rsid w:val="010261EF"/>
    <w:rsid w:val="0118278F"/>
    <w:rsid w:val="01A15B16"/>
    <w:rsid w:val="02DC768C"/>
    <w:rsid w:val="03172DAE"/>
    <w:rsid w:val="032A7BA0"/>
    <w:rsid w:val="03F1541A"/>
    <w:rsid w:val="04BD747E"/>
    <w:rsid w:val="05211E3D"/>
    <w:rsid w:val="05494BEF"/>
    <w:rsid w:val="0616567A"/>
    <w:rsid w:val="062D7D16"/>
    <w:rsid w:val="0644384B"/>
    <w:rsid w:val="068C511C"/>
    <w:rsid w:val="07E05F09"/>
    <w:rsid w:val="084D38C4"/>
    <w:rsid w:val="089F6C8F"/>
    <w:rsid w:val="0934732F"/>
    <w:rsid w:val="0A0C7395"/>
    <w:rsid w:val="0A6C3B66"/>
    <w:rsid w:val="0B2C3BBF"/>
    <w:rsid w:val="0B50581B"/>
    <w:rsid w:val="0B614334"/>
    <w:rsid w:val="0CAB7BE7"/>
    <w:rsid w:val="0CD44D12"/>
    <w:rsid w:val="0D3C3799"/>
    <w:rsid w:val="0F063DD8"/>
    <w:rsid w:val="0F5168B7"/>
    <w:rsid w:val="0F9016AC"/>
    <w:rsid w:val="0F944159"/>
    <w:rsid w:val="0FBF5170"/>
    <w:rsid w:val="0FC36245"/>
    <w:rsid w:val="110E74A4"/>
    <w:rsid w:val="11925982"/>
    <w:rsid w:val="11B02084"/>
    <w:rsid w:val="12C7253C"/>
    <w:rsid w:val="13AD202E"/>
    <w:rsid w:val="14CF0886"/>
    <w:rsid w:val="14F56154"/>
    <w:rsid w:val="15067E2A"/>
    <w:rsid w:val="15862204"/>
    <w:rsid w:val="16284755"/>
    <w:rsid w:val="16D444E0"/>
    <w:rsid w:val="16F76237"/>
    <w:rsid w:val="17721176"/>
    <w:rsid w:val="17874024"/>
    <w:rsid w:val="17D958D4"/>
    <w:rsid w:val="18D9670B"/>
    <w:rsid w:val="18E00336"/>
    <w:rsid w:val="18F912E3"/>
    <w:rsid w:val="19070E20"/>
    <w:rsid w:val="1B4F2B7F"/>
    <w:rsid w:val="1E682E91"/>
    <w:rsid w:val="204041D5"/>
    <w:rsid w:val="20873913"/>
    <w:rsid w:val="20D76F97"/>
    <w:rsid w:val="21B20B81"/>
    <w:rsid w:val="222F3AE3"/>
    <w:rsid w:val="23762176"/>
    <w:rsid w:val="24904614"/>
    <w:rsid w:val="274524D6"/>
    <w:rsid w:val="280023B0"/>
    <w:rsid w:val="2A655806"/>
    <w:rsid w:val="2ACC5FB9"/>
    <w:rsid w:val="2BAA3B01"/>
    <w:rsid w:val="2BAF7F51"/>
    <w:rsid w:val="2CB03584"/>
    <w:rsid w:val="2F0F4D0C"/>
    <w:rsid w:val="2F2B2B98"/>
    <w:rsid w:val="2FBE1D4E"/>
    <w:rsid w:val="301F6FDC"/>
    <w:rsid w:val="32491F5E"/>
    <w:rsid w:val="32E45905"/>
    <w:rsid w:val="33E73504"/>
    <w:rsid w:val="346B01A7"/>
    <w:rsid w:val="34BF2574"/>
    <w:rsid w:val="355E281E"/>
    <w:rsid w:val="363A12A8"/>
    <w:rsid w:val="368C5FAC"/>
    <w:rsid w:val="383011BB"/>
    <w:rsid w:val="38315C75"/>
    <w:rsid w:val="38E507A6"/>
    <w:rsid w:val="3925664F"/>
    <w:rsid w:val="3B333D06"/>
    <w:rsid w:val="3B8B7233"/>
    <w:rsid w:val="3BBC20C9"/>
    <w:rsid w:val="3C877C55"/>
    <w:rsid w:val="3D382D53"/>
    <w:rsid w:val="3E4B0B4C"/>
    <w:rsid w:val="408C3397"/>
    <w:rsid w:val="409A67E9"/>
    <w:rsid w:val="41635A8A"/>
    <w:rsid w:val="41CE4075"/>
    <w:rsid w:val="42696AB8"/>
    <w:rsid w:val="431E357E"/>
    <w:rsid w:val="443E04B7"/>
    <w:rsid w:val="444618A6"/>
    <w:rsid w:val="45DD7B8C"/>
    <w:rsid w:val="46C83B08"/>
    <w:rsid w:val="46CD5C73"/>
    <w:rsid w:val="47181AE7"/>
    <w:rsid w:val="49C34749"/>
    <w:rsid w:val="4B6A46D6"/>
    <w:rsid w:val="4BA66EED"/>
    <w:rsid w:val="4CA9794E"/>
    <w:rsid w:val="4D822AB6"/>
    <w:rsid w:val="4DDE4990"/>
    <w:rsid w:val="4EEE36A2"/>
    <w:rsid w:val="50022A3C"/>
    <w:rsid w:val="50571350"/>
    <w:rsid w:val="50CD5378"/>
    <w:rsid w:val="5177766A"/>
    <w:rsid w:val="534E3B31"/>
    <w:rsid w:val="54771D6A"/>
    <w:rsid w:val="56625923"/>
    <w:rsid w:val="56C712B3"/>
    <w:rsid w:val="58007C6B"/>
    <w:rsid w:val="58651090"/>
    <w:rsid w:val="587E5BC3"/>
    <w:rsid w:val="589A7CFA"/>
    <w:rsid w:val="59C36A75"/>
    <w:rsid w:val="59EB4442"/>
    <w:rsid w:val="5A202342"/>
    <w:rsid w:val="5AF87AD9"/>
    <w:rsid w:val="5C1C30C3"/>
    <w:rsid w:val="5D323023"/>
    <w:rsid w:val="5DC0692E"/>
    <w:rsid w:val="5DFC5063"/>
    <w:rsid w:val="5E833346"/>
    <w:rsid w:val="5F1F4C64"/>
    <w:rsid w:val="5FDB19F4"/>
    <w:rsid w:val="60957269"/>
    <w:rsid w:val="610E0FF1"/>
    <w:rsid w:val="62C879FB"/>
    <w:rsid w:val="635C703C"/>
    <w:rsid w:val="63902881"/>
    <w:rsid w:val="63A4565B"/>
    <w:rsid w:val="63C35B59"/>
    <w:rsid w:val="64C109CD"/>
    <w:rsid w:val="657A5BE0"/>
    <w:rsid w:val="658736AE"/>
    <w:rsid w:val="667306C5"/>
    <w:rsid w:val="686D0A0D"/>
    <w:rsid w:val="68814763"/>
    <w:rsid w:val="69B465B0"/>
    <w:rsid w:val="69EE51D1"/>
    <w:rsid w:val="6A042DBA"/>
    <w:rsid w:val="6A9149A6"/>
    <w:rsid w:val="6A9149F2"/>
    <w:rsid w:val="6B6627FD"/>
    <w:rsid w:val="6D652456"/>
    <w:rsid w:val="6E5135F1"/>
    <w:rsid w:val="6F6A2EF9"/>
    <w:rsid w:val="6FF0266A"/>
    <w:rsid w:val="6FF7211A"/>
    <w:rsid w:val="70AE5FA8"/>
    <w:rsid w:val="71AD3536"/>
    <w:rsid w:val="7245703B"/>
    <w:rsid w:val="728F6C3A"/>
    <w:rsid w:val="72A028E7"/>
    <w:rsid w:val="734E64E5"/>
    <w:rsid w:val="73985407"/>
    <w:rsid w:val="749A1C0A"/>
    <w:rsid w:val="74C86410"/>
    <w:rsid w:val="74F76797"/>
    <w:rsid w:val="76C2235D"/>
    <w:rsid w:val="77FE4D75"/>
    <w:rsid w:val="785F254A"/>
    <w:rsid w:val="788D024F"/>
    <w:rsid w:val="79A405E7"/>
    <w:rsid w:val="79FD7DF6"/>
    <w:rsid w:val="7A323725"/>
    <w:rsid w:val="7B317864"/>
    <w:rsid w:val="7C3B4B8A"/>
    <w:rsid w:val="7C6116A8"/>
    <w:rsid w:val="7C634DFF"/>
    <w:rsid w:val="7C6A2860"/>
    <w:rsid w:val="7E566928"/>
    <w:rsid w:val="7F064BEC"/>
    <w:rsid w:val="7FD3583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name="annotation reference"/>
    <w:lsdException w:uiPriority="99" w:name="line number"/>
    <w:lsdException w:qFormat="1"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qFormat="1" w:unhideWhenUsed="0" w:uiPriority="0" w:semiHidden="0"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iPriority="99" w:semiHidden="0" w:name="Body Text Indent 2"/>
    <w:lsdException w:uiPriority="99" w:name="Body Text Indent 3"/>
    <w:lsdException w:qFormat="1"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semiHidden="0" w:name="Document Map"/>
    <w:lsdException w:qFormat="1" w:uiPriority="99"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32"/>
    <w:qFormat/>
    <w:uiPriority w:val="9"/>
    <w:pPr>
      <w:keepNext/>
      <w:keepLines/>
      <w:spacing w:before="340" w:after="330" w:line="578" w:lineRule="auto"/>
      <w:outlineLvl w:val="0"/>
    </w:pPr>
    <w:rPr>
      <w:b/>
      <w:bCs/>
      <w:kern w:val="44"/>
      <w:sz w:val="44"/>
      <w:szCs w:val="44"/>
    </w:rPr>
  </w:style>
  <w:style w:type="paragraph" w:styleId="4">
    <w:name w:val="heading 2"/>
    <w:basedOn w:val="1"/>
    <w:next w:val="1"/>
    <w:link w:val="33"/>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5">
    <w:name w:val="heading 3"/>
    <w:basedOn w:val="1"/>
    <w:next w:val="1"/>
    <w:unhideWhenUsed/>
    <w:qFormat/>
    <w:uiPriority w:val="9"/>
    <w:pPr>
      <w:keepNext/>
      <w:keepLines/>
      <w:numPr>
        <w:ilvl w:val="2"/>
        <w:numId w:val="1"/>
      </w:numPr>
      <w:tabs>
        <w:tab w:val="left" w:pos="900"/>
        <w:tab w:val="clear" w:pos="567"/>
      </w:tabs>
      <w:spacing w:line="360" w:lineRule="auto"/>
      <w:outlineLvl w:val="2"/>
    </w:pPr>
    <w:rPr>
      <w:rFonts w:ascii="Times New Roman" w:hAnsi="Times New Roman" w:cs="Times New Roman"/>
      <w:b/>
      <w:bCs/>
      <w:sz w:val="28"/>
      <w:szCs w:val="21"/>
    </w:rPr>
  </w:style>
  <w:style w:type="paragraph" w:styleId="6">
    <w:name w:val="heading 4"/>
    <w:basedOn w:val="1"/>
    <w:next w:val="1"/>
    <w:qFormat/>
    <w:uiPriority w:val="0"/>
    <w:pPr>
      <w:keepNext/>
      <w:keepLines/>
      <w:numPr>
        <w:ilvl w:val="3"/>
        <w:numId w:val="2"/>
      </w:numPr>
      <w:tabs>
        <w:tab w:val="left" w:pos="426"/>
        <w:tab w:val="clear" w:pos="420"/>
      </w:tabs>
      <w:spacing w:before="50" w:beforeLines="50" w:line="240" w:lineRule="auto"/>
      <w:ind w:left="0" w:firstLineChars="0"/>
      <w:jc w:val="center"/>
      <w:outlineLvl w:val="3"/>
    </w:pPr>
    <w:rPr>
      <w:rFonts w:ascii="Times New Roman" w:hAnsi="Times New Roman"/>
      <w:b/>
      <w:bCs/>
      <w:sz w:val="21"/>
      <w:szCs w:val="28"/>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2">
    <w:name w:val="Body Text"/>
    <w:basedOn w:val="1"/>
    <w:semiHidden/>
    <w:unhideWhenUsed/>
    <w:qFormat/>
    <w:uiPriority w:val="99"/>
  </w:style>
  <w:style w:type="paragraph" w:styleId="7">
    <w:name w:val="List 3"/>
    <w:basedOn w:val="1"/>
    <w:qFormat/>
    <w:uiPriority w:val="0"/>
    <w:pPr>
      <w:widowControl/>
      <w:spacing w:line="240" w:lineRule="auto"/>
      <w:ind w:left="0" w:leftChars="0" w:firstLine="0" w:firstLineChars="0"/>
      <w:jc w:val="center"/>
    </w:pPr>
    <w:rPr>
      <w:rFonts w:ascii="Times New Roman" w:hAnsi="Times New Roman" w:cs="宋体"/>
      <w:kern w:val="0"/>
      <w:sz w:val="21"/>
    </w:rPr>
  </w:style>
  <w:style w:type="paragraph" w:styleId="8">
    <w:name w:val="Normal Indent"/>
    <w:basedOn w:val="1"/>
    <w:qFormat/>
    <w:uiPriority w:val="0"/>
    <w:pPr>
      <w:ind w:firstLine="420"/>
    </w:pPr>
    <w:rPr>
      <w:sz w:val="27"/>
      <w:szCs w:val="20"/>
    </w:rPr>
  </w:style>
  <w:style w:type="paragraph" w:styleId="9">
    <w:name w:val="caption"/>
    <w:basedOn w:val="1"/>
    <w:next w:val="1"/>
    <w:link w:val="42"/>
    <w:qFormat/>
    <w:uiPriority w:val="0"/>
    <w:pPr>
      <w:tabs>
        <w:tab w:val="center" w:pos="10467"/>
        <w:tab w:val="left" w:pos="13095"/>
      </w:tabs>
      <w:spacing w:before="60" w:line="460" w:lineRule="exact"/>
      <w:jc w:val="center"/>
    </w:pPr>
    <w:rPr>
      <w:rFonts w:ascii="Arial" w:hAnsi="Arial" w:cs="Arial"/>
      <w:sz w:val="24"/>
      <w:szCs w:val="24"/>
    </w:rPr>
  </w:style>
  <w:style w:type="paragraph" w:styleId="10">
    <w:name w:val="Document Map"/>
    <w:basedOn w:val="1"/>
    <w:link w:val="52"/>
    <w:unhideWhenUsed/>
    <w:qFormat/>
    <w:uiPriority w:val="99"/>
    <w:rPr>
      <w:rFonts w:ascii="宋体" w:eastAsia="宋体"/>
      <w:sz w:val="18"/>
      <w:szCs w:val="18"/>
    </w:rPr>
  </w:style>
  <w:style w:type="paragraph" w:styleId="11">
    <w:name w:val="annotation text"/>
    <w:basedOn w:val="1"/>
    <w:semiHidden/>
    <w:unhideWhenUsed/>
    <w:qFormat/>
    <w:uiPriority w:val="99"/>
    <w:pPr>
      <w:jc w:val="left"/>
    </w:pPr>
  </w:style>
  <w:style w:type="paragraph" w:styleId="12">
    <w:name w:val="Body Text Indent"/>
    <w:basedOn w:val="1"/>
    <w:unhideWhenUsed/>
    <w:qFormat/>
    <w:uiPriority w:val="99"/>
    <w:pPr>
      <w:spacing w:line="360" w:lineRule="auto"/>
      <w:ind w:firstLine="480" w:firstLineChars="200"/>
    </w:pPr>
    <w:rPr>
      <w:rFonts w:ascii="宋体" w:hAnsi="宋体"/>
      <w:sz w:val="24"/>
      <w:szCs w:val="24"/>
    </w:rPr>
  </w:style>
  <w:style w:type="paragraph" w:styleId="13">
    <w:name w:val="Block Text"/>
    <w:basedOn w:val="1"/>
    <w:semiHidden/>
    <w:unhideWhenUsed/>
    <w:qFormat/>
    <w:uiPriority w:val="99"/>
    <w:pPr>
      <w:spacing w:after="120"/>
      <w:ind w:left="1440" w:leftChars="700" w:right="1440" w:rightChars="700"/>
    </w:pPr>
    <w:rPr>
      <w:rFonts w:ascii="Calibri" w:hAnsi="Calibri" w:eastAsia="宋体" w:cs="Calibri"/>
      <w:szCs w:val="21"/>
    </w:rPr>
  </w:style>
  <w:style w:type="paragraph" w:styleId="14">
    <w:name w:val="toc 3"/>
    <w:basedOn w:val="1"/>
    <w:next w:val="1"/>
    <w:unhideWhenUsed/>
    <w:qFormat/>
    <w:uiPriority w:val="39"/>
    <w:pPr>
      <w:ind w:left="840" w:leftChars="400"/>
    </w:pPr>
  </w:style>
  <w:style w:type="paragraph" w:styleId="15">
    <w:name w:val="Plain Text"/>
    <w:basedOn w:val="1"/>
    <w:next w:val="16"/>
    <w:link w:val="63"/>
    <w:unhideWhenUsed/>
    <w:qFormat/>
    <w:uiPriority w:val="99"/>
    <w:rPr>
      <w:rFonts w:ascii="宋体" w:hAnsi="Courier New" w:eastAsia="宋体" w:cs="Courier New"/>
      <w:szCs w:val="21"/>
    </w:rPr>
  </w:style>
  <w:style w:type="paragraph" w:styleId="16">
    <w:name w:val="toc 1"/>
    <w:basedOn w:val="1"/>
    <w:next w:val="1"/>
    <w:unhideWhenUsed/>
    <w:qFormat/>
    <w:uiPriority w:val="39"/>
  </w:style>
  <w:style w:type="paragraph" w:styleId="17">
    <w:name w:val="Body Text Indent 2"/>
    <w:basedOn w:val="1"/>
    <w:unhideWhenUsed/>
    <w:qFormat/>
    <w:uiPriority w:val="99"/>
    <w:pPr>
      <w:ind w:firstLine="705"/>
    </w:pPr>
    <w:rPr>
      <w:rFonts w:ascii="宋体" w:hAnsi="宋体"/>
      <w:sz w:val="28"/>
    </w:rPr>
  </w:style>
  <w:style w:type="paragraph" w:styleId="18">
    <w:name w:val="Balloon Text"/>
    <w:basedOn w:val="1"/>
    <w:link w:val="37"/>
    <w:unhideWhenUsed/>
    <w:qFormat/>
    <w:uiPriority w:val="99"/>
    <w:rPr>
      <w:sz w:val="18"/>
      <w:szCs w:val="18"/>
    </w:rPr>
  </w:style>
  <w:style w:type="paragraph" w:styleId="19">
    <w:name w:val="footer"/>
    <w:basedOn w:val="1"/>
    <w:link w:val="31"/>
    <w:unhideWhenUsed/>
    <w:qFormat/>
    <w:uiPriority w:val="99"/>
    <w:pPr>
      <w:tabs>
        <w:tab w:val="center" w:pos="4153"/>
        <w:tab w:val="right" w:pos="8306"/>
      </w:tabs>
      <w:snapToGrid w:val="0"/>
      <w:jc w:val="left"/>
    </w:pPr>
    <w:rPr>
      <w:sz w:val="18"/>
      <w:szCs w:val="18"/>
    </w:rPr>
  </w:style>
  <w:style w:type="paragraph" w:styleId="20">
    <w:name w:val="header"/>
    <w:basedOn w:val="1"/>
    <w:link w:val="30"/>
    <w:unhideWhenUsed/>
    <w:qFormat/>
    <w:uiPriority w:val="99"/>
    <w:pPr>
      <w:pBdr>
        <w:bottom w:val="single" w:color="auto" w:sz="6" w:space="1"/>
      </w:pBdr>
      <w:tabs>
        <w:tab w:val="center" w:pos="4153"/>
        <w:tab w:val="right" w:pos="8306"/>
      </w:tabs>
      <w:snapToGrid w:val="0"/>
      <w:jc w:val="center"/>
    </w:pPr>
    <w:rPr>
      <w:sz w:val="18"/>
      <w:szCs w:val="18"/>
    </w:rPr>
  </w:style>
  <w:style w:type="paragraph" w:styleId="21">
    <w:name w:val="toc 2"/>
    <w:basedOn w:val="1"/>
    <w:next w:val="1"/>
    <w:unhideWhenUsed/>
    <w:qFormat/>
    <w:uiPriority w:val="39"/>
    <w:pPr>
      <w:ind w:left="420" w:leftChars="200"/>
    </w:pPr>
  </w:style>
  <w:style w:type="paragraph" w:styleId="22">
    <w:name w:val="Body Text 2"/>
    <w:basedOn w:val="1"/>
    <w:link w:val="56"/>
    <w:qFormat/>
    <w:uiPriority w:val="0"/>
    <w:pPr>
      <w:widowControl/>
      <w:spacing w:line="400" w:lineRule="exact"/>
      <w:jc w:val="left"/>
    </w:pPr>
    <w:rPr>
      <w:rFonts w:cs="宋体"/>
      <w:sz w:val="24"/>
      <w:szCs w:val="21"/>
    </w:rPr>
  </w:style>
  <w:style w:type="table" w:styleId="24">
    <w:name w:val="Table Grid"/>
    <w:basedOn w:val="23"/>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6">
    <w:name w:val="page number"/>
    <w:basedOn w:val="25"/>
    <w:unhideWhenUsed/>
    <w:qFormat/>
    <w:uiPriority w:val="99"/>
  </w:style>
  <w:style w:type="character" w:styleId="27">
    <w:name w:val="Hyperlink"/>
    <w:basedOn w:val="25"/>
    <w:unhideWhenUsed/>
    <w:qFormat/>
    <w:uiPriority w:val="99"/>
    <w:rPr>
      <w:color w:val="0000FF" w:themeColor="hyperlink"/>
      <w:u w:val="single"/>
      <w14:textFill>
        <w14:solidFill>
          <w14:schemeClr w14:val="hlink"/>
        </w14:solidFill>
      </w14:textFill>
    </w:rPr>
  </w:style>
  <w:style w:type="character" w:styleId="28">
    <w:name w:val="annotation reference"/>
    <w:basedOn w:val="25"/>
    <w:semiHidden/>
    <w:qFormat/>
    <w:uiPriority w:val="0"/>
    <w:rPr>
      <w:sz w:val="21"/>
      <w:szCs w:val="21"/>
    </w:rPr>
  </w:style>
  <w:style w:type="paragraph" w:customStyle="1" w:styleId="29">
    <w:name w:val="Default"/>
    <w:unhideWhenUsed/>
    <w:qFormat/>
    <w:uiPriority w:val="0"/>
    <w:pPr>
      <w:widowControl w:val="0"/>
      <w:autoSpaceDE w:val="0"/>
      <w:autoSpaceDN w:val="0"/>
      <w:adjustRightInd w:val="0"/>
    </w:pPr>
    <w:rPr>
      <w:rFonts w:hint="eastAsia" w:ascii="宋体" w:hAnsi="Calibri" w:eastAsia="宋体" w:cstheme="minorBidi"/>
      <w:color w:val="000000"/>
      <w:sz w:val="24"/>
      <w:szCs w:val="22"/>
      <w:lang w:val="en-US" w:eastAsia="zh-CN" w:bidi="ar-SA"/>
    </w:rPr>
  </w:style>
  <w:style w:type="character" w:customStyle="1" w:styleId="30">
    <w:name w:val="页眉 Char"/>
    <w:basedOn w:val="25"/>
    <w:link w:val="20"/>
    <w:qFormat/>
    <w:uiPriority w:val="99"/>
    <w:rPr>
      <w:sz w:val="18"/>
      <w:szCs w:val="18"/>
    </w:rPr>
  </w:style>
  <w:style w:type="character" w:customStyle="1" w:styleId="31">
    <w:name w:val="页脚 Char"/>
    <w:basedOn w:val="25"/>
    <w:link w:val="19"/>
    <w:qFormat/>
    <w:uiPriority w:val="99"/>
    <w:rPr>
      <w:sz w:val="18"/>
      <w:szCs w:val="18"/>
    </w:rPr>
  </w:style>
  <w:style w:type="character" w:customStyle="1" w:styleId="32">
    <w:name w:val="标题 1 Char"/>
    <w:basedOn w:val="25"/>
    <w:link w:val="3"/>
    <w:qFormat/>
    <w:uiPriority w:val="9"/>
    <w:rPr>
      <w:b/>
      <w:bCs/>
      <w:kern w:val="44"/>
      <w:sz w:val="44"/>
      <w:szCs w:val="44"/>
    </w:rPr>
  </w:style>
  <w:style w:type="character" w:customStyle="1" w:styleId="33">
    <w:name w:val="标题 2 Char"/>
    <w:basedOn w:val="25"/>
    <w:link w:val="4"/>
    <w:qFormat/>
    <w:uiPriority w:val="9"/>
    <w:rPr>
      <w:rFonts w:asciiTheme="majorHAnsi" w:hAnsiTheme="majorHAnsi" w:eastAsiaTheme="majorEastAsia" w:cstheme="majorBidi"/>
      <w:b/>
      <w:bCs/>
      <w:sz w:val="32"/>
      <w:szCs w:val="32"/>
    </w:rPr>
  </w:style>
  <w:style w:type="paragraph" w:customStyle="1" w:styleId="34">
    <w:name w:val="TOC 标题1"/>
    <w:basedOn w:val="3"/>
    <w:next w:val="1"/>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character" w:customStyle="1" w:styleId="35">
    <w:name w:val="正文2 Char"/>
    <w:link w:val="36"/>
    <w:qFormat/>
    <w:uiPriority w:val="0"/>
    <w:rPr>
      <w:rFonts w:ascii="Arial" w:hAnsi="Arial" w:cs="Arial"/>
      <w:color w:val="000000"/>
      <w:sz w:val="24"/>
      <w:szCs w:val="24"/>
    </w:rPr>
  </w:style>
  <w:style w:type="paragraph" w:customStyle="1" w:styleId="36">
    <w:name w:val="正文2"/>
    <w:basedOn w:val="1"/>
    <w:link w:val="35"/>
    <w:qFormat/>
    <w:uiPriority w:val="0"/>
    <w:pPr>
      <w:tabs>
        <w:tab w:val="left" w:pos="0"/>
        <w:tab w:val="left" w:pos="870"/>
        <w:tab w:val="left" w:pos="3150"/>
      </w:tabs>
      <w:autoSpaceDE w:val="0"/>
      <w:autoSpaceDN w:val="0"/>
      <w:spacing w:before="60" w:line="460" w:lineRule="exact"/>
      <w:ind w:firstLine="480" w:firstLineChars="200"/>
    </w:pPr>
    <w:rPr>
      <w:rFonts w:ascii="Arial" w:hAnsi="Arial" w:cs="Arial"/>
      <w:color w:val="000000"/>
      <w:sz w:val="24"/>
      <w:szCs w:val="24"/>
    </w:rPr>
  </w:style>
  <w:style w:type="character" w:customStyle="1" w:styleId="37">
    <w:name w:val="批注框文本 Char"/>
    <w:basedOn w:val="25"/>
    <w:link w:val="18"/>
    <w:semiHidden/>
    <w:qFormat/>
    <w:uiPriority w:val="99"/>
    <w:rPr>
      <w:sz w:val="18"/>
      <w:szCs w:val="18"/>
    </w:rPr>
  </w:style>
  <w:style w:type="character" w:customStyle="1" w:styleId="38">
    <w:name w:val="正文 首行缩进:  2 字符 Char"/>
    <w:link w:val="39"/>
    <w:qFormat/>
    <w:uiPriority w:val="0"/>
    <w:rPr>
      <w:rFonts w:ascii="Arial" w:hAnsi="Arial" w:eastAsia="Arial" w:cs="Arial"/>
      <w:color w:val="000000"/>
      <w:sz w:val="24"/>
      <w:szCs w:val="24"/>
    </w:rPr>
  </w:style>
  <w:style w:type="paragraph" w:customStyle="1" w:styleId="39">
    <w:name w:val="正文 首行缩进:  2 字符"/>
    <w:basedOn w:val="1"/>
    <w:link w:val="38"/>
    <w:qFormat/>
    <w:uiPriority w:val="0"/>
    <w:pPr>
      <w:tabs>
        <w:tab w:val="left" w:pos="5400"/>
      </w:tabs>
      <w:spacing w:before="60" w:line="460" w:lineRule="exact"/>
      <w:ind w:firstLine="480" w:firstLineChars="200"/>
    </w:pPr>
    <w:rPr>
      <w:rFonts w:ascii="Arial" w:hAnsi="Arial" w:eastAsia="Arial" w:cs="Arial"/>
      <w:color w:val="000000"/>
      <w:sz w:val="24"/>
      <w:szCs w:val="24"/>
    </w:rPr>
  </w:style>
  <w:style w:type="character" w:customStyle="1" w:styleId="40">
    <w:name w:val="表头 Char"/>
    <w:basedOn w:val="25"/>
    <w:link w:val="41"/>
    <w:qFormat/>
    <w:uiPriority w:val="0"/>
    <w:rPr>
      <w:rFonts w:ascii="Arial" w:hAnsi="Arial"/>
      <w:sz w:val="24"/>
    </w:rPr>
  </w:style>
  <w:style w:type="paragraph" w:customStyle="1" w:styleId="41">
    <w:name w:val="表头"/>
    <w:basedOn w:val="1"/>
    <w:link w:val="40"/>
    <w:qFormat/>
    <w:uiPriority w:val="0"/>
    <w:pPr>
      <w:spacing w:before="60" w:line="460" w:lineRule="exact"/>
      <w:jc w:val="center"/>
    </w:pPr>
    <w:rPr>
      <w:rFonts w:ascii="Arial" w:hAnsi="Arial"/>
      <w:sz w:val="24"/>
    </w:rPr>
  </w:style>
  <w:style w:type="character" w:customStyle="1" w:styleId="42">
    <w:name w:val="题注 Char"/>
    <w:link w:val="9"/>
    <w:qFormat/>
    <w:uiPriority w:val="0"/>
    <w:rPr>
      <w:rFonts w:ascii="Arial" w:hAnsi="Arial" w:cs="Arial"/>
      <w:sz w:val="24"/>
      <w:szCs w:val="24"/>
    </w:rPr>
  </w:style>
  <w:style w:type="paragraph" w:customStyle="1" w:styleId="43">
    <w:name w:val="表格文字2"/>
    <w:basedOn w:val="1"/>
    <w:link w:val="64"/>
    <w:qFormat/>
    <w:uiPriority w:val="0"/>
    <w:pPr>
      <w:tabs>
        <w:tab w:val="left" w:pos="277"/>
        <w:tab w:val="left" w:pos="600"/>
        <w:tab w:val="left" w:pos="780"/>
        <w:tab w:val="left" w:pos="2517"/>
      </w:tabs>
      <w:adjustRightInd w:val="0"/>
      <w:jc w:val="center"/>
      <w:textAlignment w:val="baseline"/>
    </w:pPr>
    <w:rPr>
      <w:rFonts w:ascii="Arial" w:hAnsi="Arial" w:eastAsia="Arial" w:cs="Arial"/>
      <w:kern w:val="0"/>
      <w:sz w:val="24"/>
      <w:szCs w:val="21"/>
    </w:rPr>
  </w:style>
  <w:style w:type="character" w:customStyle="1" w:styleId="44">
    <w:name w:val="表格正文 Char"/>
    <w:basedOn w:val="25"/>
    <w:link w:val="45"/>
    <w:qFormat/>
    <w:uiPriority w:val="0"/>
    <w:rPr>
      <w:snapToGrid w:val="0"/>
    </w:rPr>
  </w:style>
  <w:style w:type="paragraph" w:customStyle="1" w:styleId="45">
    <w:name w:val="表格正文"/>
    <w:basedOn w:val="1"/>
    <w:link w:val="44"/>
    <w:qFormat/>
    <w:uiPriority w:val="0"/>
    <w:pPr>
      <w:spacing w:line="360" w:lineRule="exact"/>
      <w:jc w:val="center"/>
    </w:pPr>
    <w:rPr>
      <w:snapToGrid w:val="0"/>
    </w:rPr>
  </w:style>
  <w:style w:type="paragraph" w:customStyle="1" w:styleId="46">
    <w:name w:val="表格标题"/>
    <w:basedOn w:val="1"/>
    <w:next w:val="47"/>
    <w:qFormat/>
    <w:uiPriority w:val="0"/>
    <w:pPr>
      <w:spacing w:before="60" w:line="460" w:lineRule="exact"/>
      <w:jc w:val="center"/>
    </w:pPr>
    <w:rPr>
      <w:rFonts w:ascii="Times New Roman" w:hAnsi="Times New Roman" w:eastAsia="宋体" w:cs="Arial"/>
      <w:sz w:val="24"/>
      <w:szCs w:val="24"/>
    </w:rPr>
  </w:style>
  <w:style w:type="paragraph" w:customStyle="1" w:styleId="47">
    <w:name w:val="表格内容"/>
    <w:basedOn w:val="46"/>
    <w:next w:val="1"/>
    <w:qFormat/>
    <w:uiPriority w:val="0"/>
    <w:pPr>
      <w:spacing w:line="240" w:lineRule="atLeast"/>
    </w:pPr>
  </w:style>
  <w:style w:type="paragraph" w:styleId="48">
    <w:name w:val="No Spacing"/>
    <w:qFormat/>
    <w:uiPriority w:val="99"/>
    <w:pPr>
      <w:widowControl w:val="0"/>
      <w:jc w:val="both"/>
    </w:pPr>
    <w:rPr>
      <w:rFonts w:ascii="Times New Roman" w:hAnsi="Times New Roman" w:eastAsia="宋体" w:cs="Times New Roman"/>
      <w:kern w:val="2"/>
      <w:sz w:val="21"/>
      <w:lang w:val="en-US" w:eastAsia="zh-CN" w:bidi="ar-SA"/>
    </w:rPr>
  </w:style>
  <w:style w:type="character" w:customStyle="1" w:styleId="49">
    <w:name w:val="正文01 Char Char"/>
    <w:link w:val="50"/>
    <w:qFormat/>
    <w:uiPriority w:val="0"/>
    <w:rPr>
      <w:rFonts w:ascii="Arial" w:hAnsi="Arial" w:eastAsia="宋体"/>
      <w:sz w:val="24"/>
    </w:rPr>
  </w:style>
  <w:style w:type="paragraph" w:customStyle="1" w:styleId="50">
    <w:name w:val="正文01"/>
    <w:basedOn w:val="1"/>
    <w:link w:val="49"/>
    <w:qFormat/>
    <w:uiPriority w:val="0"/>
    <w:pPr>
      <w:spacing w:before="60" w:line="460" w:lineRule="exact"/>
      <w:ind w:firstLine="200" w:firstLineChars="200"/>
    </w:pPr>
    <w:rPr>
      <w:rFonts w:ascii="Arial" w:hAnsi="Arial" w:eastAsia="宋体"/>
      <w:sz w:val="24"/>
    </w:rPr>
  </w:style>
  <w:style w:type="paragraph" w:styleId="51">
    <w:name w:val="List Paragraph"/>
    <w:basedOn w:val="1"/>
    <w:qFormat/>
    <w:uiPriority w:val="34"/>
    <w:pPr>
      <w:ind w:firstLine="420" w:firstLineChars="200"/>
    </w:pPr>
  </w:style>
  <w:style w:type="character" w:customStyle="1" w:styleId="52">
    <w:name w:val="文档结构图 Char"/>
    <w:basedOn w:val="25"/>
    <w:link w:val="10"/>
    <w:semiHidden/>
    <w:qFormat/>
    <w:uiPriority w:val="99"/>
    <w:rPr>
      <w:rFonts w:ascii="宋体" w:eastAsia="宋体"/>
      <w:sz w:val="18"/>
      <w:szCs w:val="18"/>
    </w:rPr>
  </w:style>
  <w:style w:type="character" w:customStyle="1" w:styleId="53">
    <w:name w:val="正文首行缩进 2 + Times New Roman Char"/>
    <w:link w:val="54"/>
    <w:qFormat/>
    <w:uiPriority w:val="0"/>
    <w:rPr>
      <w:sz w:val="24"/>
      <w:szCs w:val="24"/>
    </w:rPr>
  </w:style>
  <w:style w:type="paragraph" w:customStyle="1" w:styleId="54">
    <w:name w:val="正文首行缩进 2 + Times New Roman"/>
    <w:basedOn w:val="1"/>
    <w:link w:val="53"/>
    <w:qFormat/>
    <w:uiPriority w:val="0"/>
    <w:pPr>
      <w:widowControl/>
      <w:tabs>
        <w:tab w:val="left" w:pos="0"/>
        <w:tab w:val="left" w:pos="870"/>
        <w:tab w:val="left" w:pos="3150"/>
      </w:tabs>
      <w:autoSpaceDE w:val="0"/>
      <w:autoSpaceDN w:val="0"/>
      <w:spacing w:line="360" w:lineRule="auto"/>
      <w:ind w:firstLine="480" w:firstLineChars="200"/>
      <w:jc w:val="left"/>
    </w:pPr>
    <w:rPr>
      <w:sz w:val="24"/>
      <w:szCs w:val="24"/>
    </w:rPr>
  </w:style>
  <w:style w:type="character" w:customStyle="1" w:styleId="55">
    <w:name w:val="正文文本 2 Char"/>
    <w:link w:val="22"/>
    <w:qFormat/>
    <w:uiPriority w:val="0"/>
    <w:rPr>
      <w:rFonts w:cs="宋体"/>
      <w:sz w:val="24"/>
      <w:szCs w:val="21"/>
    </w:rPr>
  </w:style>
  <w:style w:type="character" w:customStyle="1" w:styleId="56">
    <w:name w:val="正文文本 2 Char1"/>
    <w:basedOn w:val="25"/>
    <w:link w:val="22"/>
    <w:semiHidden/>
    <w:qFormat/>
    <w:uiPriority w:val="99"/>
  </w:style>
  <w:style w:type="character" w:customStyle="1" w:styleId="57">
    <w:name w:val="报告正文 Char Char"/>
    <w:link w:val="58"/>
    <w:qFormat/>
    <w:uiPriority w:val="0"/>
    <w:rPr>
      <w:rFonts w:cs="宋体"/>
      <w:sz w:val="24"/>
      <w:szCs w:val="21"/>
    </w:rPr>
  </w:style>
  <w:style w:type="paragraph" w:customStyle="1" w:styleId="58">
    <w:name w:val="报告正文"/>
    <w:basedOn w:val="1"/>
    <w:link w:val="57"/>
    <w:qFormat/>
    <w:uiPriority w:val="0"/>
    <w:pPr>
      <w:widowControl/>
      <w:spacing w:line="360" w:lineRule="auto"/>
      <w:ind w:firstLine="482"/>
      <w:jc w:val="left"/>
    </w:pPr>
    <w:rPr>
      <w:rFonts w:cs="宋体"/>
      <w:sz w:val="24"/>
      <w:szCs w:val="21"/>
    </w:rPr>
  </w:style>
  <w:style w:type="paragraph" w:customStyle="1" w:styleId="59">
    <w:name w:val="样式1"/>
    <w:basedOn w:val="19"/>
    <w:qFormat/>
    <w:uiPriority w:val="0"/>
    <w:pPr>
      <w:widowControl/>
      <w:tabs>
        <w:tab w:val="left" w:pos="864"/>
      </w:tabs>
      <w:ind w:left="864" w:hanging="864"/>
    </w:pPr>
    <w:rPr>
      <w:rFonts w:ascii="Times New Roman" w:hAnsi="Times New Roman" w:eastAsia="宋体" w:cs="Times New Roman"/>
    </w:rPr>
  </w:style>
  <w:style w:type="paragraph" w:customStyle="1" w:styleId="60">
    <w:name w:val="表内"/>
    <w:basedOn w:val="1"/>
    <w:qFormat/>
    <w:uiPriority w:val="0"/>
    <w:pPr>
      <w:widowControl/>
      <w:jc w:val="center"/>
    </w:pPr>
    <w:rPr>
      <w:rFonts w:ascii="宋体" w:hAnsi="宋体" w:eastAsia="仿宋_GB2312" w:cs="宋体"/>
      <w:kern w:val="0"/>
      <w:sz w:val="24"/>
      <w:szCs w:val="24"/>
    </w:rPr>
  </w:style>
  <w:style w:type="paragraph" w:customStyle="1" w:styleId="61">
    <w:name w:val="样式 好格式 + 首行缩进:  0.85 厘米"/>
    <w:basedOn w:val="1"/>
    <w:qFormat/>
    <w:uiPriority w:val="0"/>
    <w:pPr>
      <w:widowControl/>
      <w:tabs>
        <w:tab w:val="left" w:pos="0"/>
        <w:tab w:val="left" w:pos="870"/>
        <w:tab w:val="left" w:pos="3150"/>
      </w:tabs>
      <w:autoSpaceDE w:val="0"/>
      <w:autoSpaceDN w:val="0"/>
      <w:adjustRightInd w:val="0"/>
      <w:snapToGrid w:val="0"/>
      <w:spacing w:line="360" w:lineRule="auto"/>
      <w:ind w:firstLine="200" w:firstLineChars="200"/>
      <w:jc w:val="left"/>
    </w:pPr>
    <w:rPr>
      <w:rFonts w:ascii="宋体" w:hAnsi="宋体" w:eastAsia="宋体" w:cs="宋体"/>
      <w:color w:val="000000"/>
      <w:kern w:val="0"/>
      <w:sz w:val="24"/>
      <w:szCs w:val="20"/>
    </w:rPr>
  </w:style>
  <w:style w:type="paragraph" w:customStyle="1" w:styleId="62">
    <w:name w:val="表格文字"/>
    <w:basedOn w:val="15"/>
    <w:qFormat/>
    <w:uiPriority w:val="0"/>
    <w:pPr>
      <w:widowControl/>
      <w:snapToGrid w:val="0"/>
      <w:jc w:val="center"/>
    </w:pPr>
    <w:rPr>
      <w:rFonts w:hAnsi="Lucida Console" w:eastAsia="仿宋_GB2312" w:cs="宋体"/>
      <w:sz w:val="24"/>
      <w:szCs w:val="24"/>
    </w:rPr>
  </w:style>
  <w:style w:type="character" w:customStyle="1" w:styleId="63">
    <w:name w:val="纯文本 Char"/>
    <w:basedOn w:val="25"/>
    <w:link w:val="15"/>
    <w:semiHidden/>
    <w:qFormat/>
    <w:uiPriority w:val="99"/>
    <w:rPr>
      <w:rFonts w:ascii="宋体" w:hAnsi="Courier New" w:eastAsia="宋体" w:cs="Courier New"/>
      <w:szCs w:val="21"/>
    </w:rPr>
  </w:style>
  <w:style w:type="character" w:customStyle="1" w:styleId="64">
    <w:name w:val="表格文字2 Char"/>
    <w:link w:val="43"/>
    <w:qFormat/>
    <w:uiPriority w:val="0"/>
    <w:rPr>
      <w:rFonts w:ascii="Arial" w:hAnsi="Arial" w:eastAsia="Arial" w:cs="Arial"/>
      <w:kern w:val="0"/>
      <w:sz w:val="24"/>
      <w:szCs w:val="21"/>
    </w:rPr>
  </w:style>
  <w:style w:type="character" w:customStyle="1" w:styleId="65">
    <w:name w:val="bluetxt1"/>
    <w:qFormat/>
    <w:uiPriority w:val="99"/>
  </w:style>
  <w:style w:type="paragraph" w:customStyle="1" w:styleId="66">
    <w:name w:val="无间隔3"/>
    <w:qFormat/>
    <w:uiPriority w:val="99"/>
    <w:pPr>
      <w:widowControl w:val="0"/>
      <w:jc w:val="both"/>
    </w:pPr>
    <w:rPr>
      <w:rFonts w:ascii="Times New Roman" w:hAnsi="Times New Roman" w:eastAsia="宋体" w:cs="Times New Roman"/>
      <w:kern w:val="2"/>
      <w:sz w:val="21"/>
      <w:lang w:val="en-US" w:eastAsia="zh-CN" w:bidi="ar-SA"/>
    </w:rPr>
  </w:style>
  <w:style w:type="paragraph" w:customStyle="1" w:styleId="67">
    <w:name w:val="注释"/>
    <w:basedOn w:val="45"/>
    <w:qFormat/>
    <w:uiPriority w:val="0"/>
    <w:pPr>
      <w:jc w:val="both"/>
    </w:pPr>
  </w:style>
  <w:style w:type="paragraph" w:customStyle="1" w:styleId="68">
    <w:name w:val="三级标题"/>
    <w:basedOn w:val="5"/>
    <w:qFormat/>
    <w:uiPriority w:val="0"/>
    <w:pPr>
      <w:spacing w:line="460" w:lineRule="exact"/>
    </w:pPr>
    <w:rPr>
      <w:rFonts w:ascii="仿宋_GB2312" w:eastAsia="仿宋_GB2312"/>
      <w:color w:val="000000"/>
      <w:szCs w:val="28"/>
    </w:rPr>
  </w:style>
  <w:style w:type="paragraph" w:customStyle="1" w:styleId="69">
    <w:name w:val="表格"/>
    <w:basedOn w:val="1"/>
    <w:next w:val="1"/>
    <w:qFormat/>
    <w:uiPriority w:val="0"/>
    <w:pPr>
      <w:suppressAutoHyphens/>
      <w:spacing w:line="288" w:lineRule="auto"/>
      <w:jc w:val="center"/>
    </w:pPr>
    <w:rPr>
      <w:kern w:val="24"/>
      <w:sz w:val="24"/>
    </w:rPr>
  </w:style>
  <w:style w:type="paragraph" w:customStyle="1" w:styleId="70">
    <w:name w:val="1232123"/>
    <w:basedOn w:val="1"/>
    <w:qFormat/>
    <w:uiPriority w:val="0"/>
    <w:pPr>
      <w:autoSpaceDE w:val="0"/>
      <w:autoSpaceDN w:val="0"/>
      <w:adjustRightInd w:val="0"/>
      <w:jc w:val="center"/>
    </w:pPr>
    <w:rPr>
      <w:rFonts w:ascii="黑体" w:hAnsi="黑体" w:eastAsia="黑体"/>
      <w:b/>
      <w:kern w:val="0"/>
      <w:sz w:val="18"/>
      <w:szCs w:val="21"/>
    </w:rPr>
  </w:style>
  <w:style w:type="paragraph" w:customStyle="1" w:styleId="71">
    <w:name w:val="xl2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kern w:val="0"/>
      <w:szCs w:val="21"/>
    </w:rPr>
  </w:style>
  <w:style w:type="paragraph" w:customStyle="1" w:styleId="72">
    <w:name w:val="首行缩进:  2 字符"/>
    <w:basedOn w:val="1"/>
    <w:qFormat/>
    <w:uiPriority w:val="0"/>
    <w:pPr>
      <w:spacing w:line="300" w:lineRule="auto"/>
      <w:ind w:firstLine="480" w:firstLineChars="200"/>
    </w:pPr>
    <w:rPr>
      <w:sz w:val="24"/>
    </w:rPr>
  </w:style>
  <w:style w:type="paragraph" w:customStyle="1" w:styleId="73">
    <w:name w:val="_Style 2"/>
    <w:qFormat/>
    <w:uiPriority w:val="99"/>
    <w:pPr>
      <w:widowControl w:val="0"/>
      <w:jc w:val="both"/>
    </w:pPr>
    <w:rPr>
      <w:rFonts w:ascii="Times New Roman" w:hAnsi="Times New Roman" w:eastAsia="宋体" w:cs="Times New Roman"/>
      <w:kern w:val="2"/>
      <w:sz w:val="21"/>
      <w:szCs w:val="22"/>
      <w:lang w:val="en-US" w:eastAsia="zh-CN" w:bidi="ar-SA"/>
    </w:rPr>
  </w:style>
  <w:style w:type="paragraph" w:customStyle="1" w:styleId="74">
    <w:name w:val="_Style 1"/>
    <w:qFormat/>
    <w:uiPriority w:val="99"/>
    <w:pPr>
      <w:widowControl w:val="0"/>
      <w:jc w:val="both"/>
    </w:pPr>
    <w:rPr>
      <w:rFonts w:ascii="Times New Roman" w:hAnsi="Times New Roman" w:eastAsia="宋体" w:cs="Times New Roman"/>
      <w:kern w:val="2"/>
      <w:sz w:val="21"/>
      <w:szCs w:val="22"/>
      <w:lang w:val="en-US" w:eastAsia="zh-CN" w:bidi="ar-SA"/>
    </w:rPr>
  </w:style>
  <w:style w:type="paragraph" w:customStyle="1" w:styleId="75">
    <w:name w:val="表"/>
    <w:basedOn w:val="1"/>
    <w:qFormat/>
    <w:uiPriority w:val="0"/>
    <w:pPr>
      <w:snapToGrid w:val="0"/>
      <w:spacing w:line="360" w:lineRule="exact"/>
      <w:jc w:val="center"/>
    </w:pPr>
    <w:rPr>
      <w:spacing w:val="2"/>
      <w:szCs w:val="21"/>
    </w:rPr>
  </w:style>
  <w:style w:type="paragraph" w:customStyle="1" w:styleId="76">
    <w:name w:val="正文1"/>
    <w:basedOn w:val="1"/>
    <w:qFormat/>
    <w:uiPriority w:val="0"/>
    <w:pPr>
      <w:snapToGrid w:val="0"/>
      <w:spacing w:line="500" w:lineRule="atLeast"/>
      <w:ind w:firstLine="567"/>
    </w:pPr>
    <w:rPr>
      <w:sz w:val="28"/>
      <w:szCs w:val="20"/>
    </w:rPr>
  </w:style>
  <w:style w:type="paragraph" w:customStyle="1" w:styleId="77">
    <w:name w:val="表格001"/>
    <w:basedOn w:val="1"/>
    <w:qFormat/>
    <w:uiPriority w:val="0"/>
    <w:pPr>
      <w:spacing w:line="360" w:lineRule="exact"/>
      <w:jc w:val="center"/>
    </w:pPr>
    <w:rPr>
      <w:rFonts w:ascii="Arial" w:hAnsi="Arial"/>
      <w:color w:val="000000"/>
      <w:szCs w:val="20"/>
    </w:rPr>
  </w:style>
  <w:style w:type="paragraph" w:customStyle="1" w:styleId="78">
    <w:name w:val="Char Char Char Char"/>
    <w:basedOn w:val="1"/>
    <w:qFormat/>
    <w:uiPriority w:val="0"/>
    <w:pPr>
      <w:spacing w:line="360" w:lineRule="auto"/>
      <w:ind w:firstLine="200" w:firstLineChars="200"/>
    </w:pPr>
    <w:rPr>
      <w:rFonts w:ascii="宋体" w:hAnsi="宋体" w:cs="宋体"/>
      <w:sz w:val="24"/>
    </w:rPr>
  </w:style>
  <w:style w:type="paragraph" w:customStyle="1" w:styleId="79">
    <w:name w:val="报告表正文"/>
    <w:basedOn w:val="1"/>
    <w:qFormat/>
    <w:uiPriority w:val="0"/>
    <w:pPr>
      <w:ind w:firstLine="640" w:firstLineChars="200"/>
    </w:pPr>
  </w:style>
  <w:style w:type="paragraph" w:customStyle="1" w:styleId="80">
    <w:name w:val="Char"/>
    <w:basedOn w:val="1"/>
    <w:qFormat/>
    <w:uiPriority w:val="0"/>
    <w:pPr>
      <w:spacing w:line="360" w:lineRule="auto"/>
      <w:ind w:firstLine="200" w:firstLineChars="200"/>
    </w:pPr>
    <w:rPr>
      <w:rFonts w:ascii="宋体" w:hAnsi="宋体" w:cs="宋体"/>
    </w:rPr>
  </w:style>
  <w:style w:type="paragraph" w:customStyle="1" w:styleId="81">
    <w:name w:val="样式 表头 + 段前: 0.5 行 段后: 0.5 行"/>
    <w:basedOn w:val="1"/>
    <w:qFormat/>
    <w:uiPriority w:val="0"/>
    <w:pPr>
      <w:autoSpaceDE w:val="0"/>
      <w:autoSpaceDN w:val="0"/>
      <w:adjustRightInd w:val="0"/>
      <w:spacing w:before="100" w:beforeAutospacing="1" w:after="100" w:afterAutospacing="1" w:line="480" w:lineRule="exact"/>
      <w:jc w:val="center"/>
    </w:pPr>
    <w:rPr>
      <w:b/>
      <w:bCs/>
      <w:sz w:val="24"/>
      <w:szCs w:val="20"/>
      <w:lang w:val="zh-CN"/>
    </w:rPr>
  </w:style>
  <w:style w:type="paragraph" w:customStyle="1" w:styleId="82">
    <w:name w:val="常用表格样式"/>
    <w:next w:val="83"/>
    <w:qFormat/>
    <w:uiPriority w:val="99"/>
    <w:pPr>
      <w:widowControl w:val="0"/>
      <w:adjustRightInd w:val="0"/>
      <w:jc w:val="center"/>
    </w:pPr>
    <w:rPr>
      <w:rFonts w:ascii="宋体" w:hAnsi="宋体" w:eastAsia="宋体" w:cs="宋体"/>
      <w:color w:val="000000"/>
      <w:kern w:val="2"/>
      <w:sz w:val="21"/>
      <w:szCs w:val="18"/>
      <w:lang w:val="en-US" w:eastAsia="zh-CN" w:bidi="ar-SA"/>
    </w:rPr>
  </w:style>
  <w:style w:type="paragraph" w:customStyle="1" w:styleId="83">
    <w:name w:val="常用正文样式"/>
    <w:basedOn w:val="1"/>
    <w:qFormat/>
    <w:uiPriority w:val="99"/>
    <w:pPr>
      <w:ind w:firstLine="480" w:firstLineChars="200"/>
    </w:pPr>
    <w:rPr>
      <w:rFonts w:ascii="宋体" w:hAnsi="宋体" w:eastAsia="宋体" w:cs="宋体"/>
      <w:bCs/>
      <w:kern w:val="28"/>
      <w:sz w:val="24"/>
    </w:rPr>
  </w:style>
  <w:style w:type="paragraph" w:customStyle="1" w:styleId="84">
    <w:name w:val="Body Text 22"/>
    <w:basedOn w:val="1"/>
    <w:qFormat/>
    <w:uiPriority w:val="0"/>
    <w:pPr>
      <w:adjustRightInd w:val="0"/>
      <w:spacing w:line="440" w:lineRule="atLeast"/>
      <w:ind w:firstLine="480"/>
      <w:textAlignment w:val="baseline"/>
    </w:pPr>
    <w:rPr>
      <w:rFonts w:ascii="Times New Roman" w:hAnsi="Times New Roman" w:eastAsia="仿宋_GB2312"/>
      <w:szCs w:val="20"/>
    </w:rPr>
  </w:style>
  <w:style w:type="paragraph" w:customStyle="1" w:styleId="85">
    <w:name w:val="题注1"/>
    <w:basedOn w:val="1"/>
    <w:qFormat/>
    <w:uiPriority w:val="0"/>
    <w:pPr>
      <w:jc w:val="center"/>
    </w:pPr>
    <w:rPr>
      <w:b/>
      <w:sz w:val="24"/>
    </w:rPr>
  </w:style>
  <w:style w:type="paragraph" w:customStyle="1" w:styleId="86">
    <w:name w:val="中文报告书样式"/>
    <w:basedOn w:val="1"/>
    <w:qFormat/>
    <w:uiPriority w:val="0"/>
    <w:pPr>
      <w:adjustRightInd w:val="0"/>
      <w:spacing w:line="480" w:lineRule="atLeast"/>
      <w:ind w:firstLine="482"/>
      <w:textAlignment w:val="baseline"/>
    </w:pPr>
    <w:rPr>
      <w:kern w:val="24"/>
      <w:sz w:val="24"/>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4.xml"/><Relationship Id="rId7" Type="http://schemas.openxmlformats.org/officeDocument/2006/relationships/footer" Target="footer2.xml"/><Relationship Id="rId6" Type="http://schemas.openxmlformats.org/officeDocument/2006/relationships/header" Target="header3.xml"/><Relationship Id="rId5" Type="http://schemas.openxmlformats.org/officeDocument/2006/relationships/footer" Target="footer1.xml"/><Relationship Id="rId48" Type="http://schemas.openxmlformats.org/officeDocument/2006/relationships/fontTable" Target="fontTable.xml"/><Relationship Id="rId47" Type="http://schemas.openxmlformats.org/officeDocument/2006/relationships/numbering" Target="numbering.xml"/><Relationship Id="rId46" Type="http://schemas.openxmlformats.org/officeDocument/2006/relationships/customXml" Target="../customXml/item1.xml"/><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header" Target="header2.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jpeg"/><Relationship Id="rId30" Type="http://schemas.openxmlformats.org/officeDocument/2006/relationships/image" Target="media/image20.png"/><Relationship Id="rId3" Type="http://schemas.openxmlformats.org/officeDocument/2006/relationships/header" Target="head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jpe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69</Pages>
  <Words>16806</Words>
  <Characters>20219</Characters>
  <Lines>159</Lines>
  <Paragraphs>44</Paragraphs>
  <TotalTime>1</TotalTime>
  <ScaleCrop>false</ScaleCrop>
  <LinksUpToDate>false</LinksUpToDate>
  <CharactersWithSpaces>20440</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2017-07-07T03:05:00Z</dcterms:created>
  <dc:creator>何菲</dc:creator>
  <cp:lastModifiedBy>如果你也听说1387178614</cp:lastModifiedBy>
  <cp:lastPrinted>2020-07-21T06:59:00Z</cp:lastPrinted>
  <dcterms:modified xsi:type="dcterms:W3CDTF">2022-04-24T01:59:52Z</dcterms:modified>
  <cp:revision>136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36515172CB3B40C8AD0B7D421BF86FF1</vt:lpwstr>
  </property>
</Properties>
</file>