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宁波华一汽缝实业有限公司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年产10亿只螺钉技改项目竣工环境保护验收意见</w:t>
      </w:r>
    </w:p>
    <w:p>
      <w:pPr>
        <w:adjustRightInd w:val="0"/>
        <w:snapToGrid w:val="0"/>
        <w:spacing w:line="360" w:lineRule="auto"/>
        <w:rPr>
          <w:rFonts w:ascii="仿宋" w:hAnsi="仿宋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宁波华一汽缝实业有限公司</w:t>
      </w:r>
      <w:r>
        <w:rPr>
          <w:rFonts w:hint="eastAsia" w:ascii="仿宋" w:hAnsi="仿宋" w:eastAsia="仿宋" w:cs="仿宋"/>
          <w:sz w:val="28"/>
          <w:szCs w:val="28"/>
        </w:rPr>
        <w:t>根据《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宁波华一汽缝实业有限公司年产10亿只螺钉技改项目</w:t>
      </w:r>
      <w:r>
        <w:rPr>
          <w:rFonts w:hint="eastAsia" w:ascii="仿宋" w:hAnsi="仿宋" w:eastAsia="仿宋" w:cs="仿宋"/>
          <w:sz w:val="28"/>
          <w:szCs w:val="28"/>
        </w:rPr>
        <w:t>竣工环境保护验收监测报告》并对照《建设项目竣工环境保护验收暂行办法》，严格依照国家有关法律法规、建设项目竣工环境保护验收技术规范/指南、本项目环境影响评价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报告表</w:t>
      </w:r>
      <w:r>
        <w:rPr>
          <w:rFonts w:hint="eastAsia" w:ascii="仿宋" w:hAnsi="仿宋" w:eastAsia="仿宋" w:cs="仿宋"/>
          <w:sz w:val="28"/>
          <w:szCs w:val="28"/>
        </w:rPr>
        <w:t xml:space="preserve">和审批部门审批决定等要求对本项目进行验收，提出意见如下：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工程建设基本情况</w:t>
      </w:r>
    </w:p>
    <w:p>
      <w:pPr>
        <w:adjustRightInd w:val="0"/>
        <w:snapToGrid w:val="0"/>
        <w:spacing w:line="360" w:lineRule="auto"/>
        <w:ind w:firstLine="420" w:firstLine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（一）建设地点、规模、主要建设内容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宁波华一汽缝实业有限公司位于宁波市海曙区高桥镇工业区秀丰路519号（1#厂区）、高桥镇石塘村（2#厂区）。本项目总投资800万元，建筑面积10843.1平方米，年产年产10亿只螺钉。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厂区实行雨、污分流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本项目产生的研磨废水、酸洗磷化线以及发黑线产生的清洗废水、喷淋废水和生活污水。本项目不新增员工，生活污水依托原有粪池预处理后纳管。1#厂区振动研磨清洗废水经“隔油+沉淀+气浮技术”处理后纳管排放，2#厂区自动酸洗磷化线及自动发黑线产生废水和喷淋废水经“隔油+中和+沉淀+生化+过滤”处理后部分回用，其余纳管排放。排放浓度执行《污水综合排放标准》（GB 8978-1996）三级标准，其中氨氮、总磷执行《工业企业废水氮、磷污染物间接排放限值》（DB33/887-2013）执行，总氮参照《污水排入城镇下水道水质标准》（GB/T 31962-2015），总铁执行浙江省地方标准即《酸洗废水排放总铁浓度限值》（DB33/844-2011）二级排放浓度限值，即总铁10mg/L，纳管后排入宁波市城市排水有限公司栎社净化水厂，最终经污水处理厂处理后，化学需氧量、氨氮、总氮、总磷执行浙江省地方标准《城镇污水处理厂主要水污染物排放标准》（DB33/2169-2018）表1现有城镇污水处理厂主要水污染物排放限值，其余指标达到《城镇污水处理厂污染物排放标准》（GB18919-2002）一级A标准后排放。</w:t>
      </w:r>
    </w:p>
    <w:p>
      <w:pPr>
        <w:pStyle w:val="12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建设过程及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环保审批情况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企业于2022年2月委托宁波市树泰环境技术有限公司编制完成《宁波华一汽缝实业有限公司年产10亿只螺钉技改项目环境影响报告表》，并于2022年3月4日取得宁波市生态环境局海曙分局的批复，批复号：2022甬环海申（建）第013号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对照《固定污染源排污许可分类管理名录（2019年版）》，本 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项目属于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二十九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通用设备制造业34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83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通用零部件制造348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”，属于实施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简化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管理的排污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单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已</w:t>
      </w:r>
      <w:r>
        <w:rPr>
          <w:rFonts w:hint="eastAsia" w:ascii="仿宋" w:hAnsi="仿宋" w:eastAsia="仿宋" w:cs="仿宋"/>
          <w:sz w:val="28"/>
          <w:szCs w:val="28"/>
        </w:rPr>
        <w:t>按要求进行排污登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记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（三）投资情况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收的《宁波华一汽缝实业有限公司年产10亿只螺钉技改项目》实际总投资约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万元，其中环保投资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（四）验收范围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本次验收范围为宁波华一汽缝实业有限公司年产10亿只螺钉技改项目整体验收。</w:t>
      </w:r>
    </w:p>
    <w:p>
      <w:pPr>
        <w:adjustRightInd w:val="0"/>
        <w:snapToGrid w:val="0"/>
        <w:spacing w:line="360" w:lineRule="auto"/>
        <w:ind w:firstLine="551" w:firstLineChars="196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二、工程变动情况</w:t>
      </w:r>
    </w:p>
    <w:p>
      <w:pPr>
        <w:spacing w:line="336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经现场核查，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工程建设内容及加工能力与项目《环境影响报告书》及其批复基本一致，生产工艺及产能基本无变化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配套环保设施与项目《环境影响报告表》及其批复基本一致。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三、环境保护设施建设情况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（一）废气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、1#厂区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冷镦废气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废气收集后经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高效除油器处理后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通过15米排气筒排放。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2、1#厂区抛丸废气</w:t>
      </w:r>
    </w:p>
    <w:p>
      <w:pPr>
        <w:pStyle w:val="12"/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废气收集后经布袋除尘装置处理后通过15米排气筒排放。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3、1#厂区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热处理废气</w:t>
      </w:r>
    </w:p>
    <w:p>
      <w:pPr>
        <w:pStyle w:val="12"/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废气收集后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二级油烟净化器处理后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通过1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5米排气筒排放。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4、2#厂区酸洗磷化线废气</w:t>
      </w:r>
    </w:p>
    <w:p>
      <w:pPr>
        <w:pStyle w:val="12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废气收集后经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喷淋塔处理后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通过15米排气筒排放。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5、2#厂区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发黑线废气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+天燃气燃烧废气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废气收集后经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喷淋塔处理后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通过15米排气筒排放。</w:t>
      </w:r>
    </w:p>
    <w:p>
      <w:pPr>
        <w:pStyle w:val="12"/>
        <w:numPr>
          <w:ilvl w:val="0"/>
          <w:numId w:val="0"/>
        </w:numPr>
        <w:ind w:firstLine="280" w:firstLineChars="1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（二）废水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本项目产生的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废水主要有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研磨废水、酸洗磷化线以及发黑线产生的清洗废水、喷淋废水和生活污水。本项目不新增员工，生活污水依托原有粪池预处理后纳管。1#厂区振动研磨清洗废水经“隔油+沉淀+气浮技术”处理后纳管排放，2#厂区自动酸洗磷化线及自动发黑线产生废水和喷淋废水经“隔油+中和+沉淀+生化+过滤技术”处理后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部分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回用，其余纳管排放。排放浓度执行《污水综合排放标准》（GB 8978-1996）三级标准，其中氨氮、总磷执行《工业企业废水氮、磷污染物间接排放限值》（DB33/887-2013）执行，总氮参照《污水排入城镇下水道水质标准》（GB/T 31962-2015），总铁执行浙江省地方标准即《酸洗废水排放总铁浓度限值》（DB33/844-2011）二级排放浓度限值，即总铁10mg/L，纳管后排入宁波市城市排水有限公司栎社净化水厂。最终经污水处理厂处理后，化学需氧量、氨氮、总氮、总磷执行浙江省地方标准《城镇污水处理厂主要水污染物排放标准》（DB33/2169-2018）表1现有城镇污水处理厂主要水污染物排放限值，其余指标达到《城镇污水处理厂污染物排放标准》（GB18919-2002）一级A标准后排放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（三）噪声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本工程的噪声源主要来铣槽机、冷镦机、光饰机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和废气处理风机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产生的噪声</w:t>
      </w:r>
      <w:r>
        <w:rPr>
          <w:rFonts w:hint="default" w:ascii="仿宋" w:hAnsi="仿宋" w:eastAsia="仿宋" w:cs="仿宋"/>
          <w:kern w:val="0"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，针对各类设备噪声，已采取了隔声、减振、消声等措施。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（四）固体废物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本项目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金属边角料和除尘器集尘属于一般固废，金属边角料（含油）通过静置后除油达到无滴漏，可达到豁免条件作为一般固废收集后外售综合利用；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槽渣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清洗废液（含油）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污泥（2#厂区）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属于危险废物，委托昱源宁海环保科技股份有限公司安全处置；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废润滑油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废液压油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废柴油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废防锈油、废溶水油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回收废油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污泥（1#厂区）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废油桶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属于危险废物，委托宁波蓝盾环保能源有限公司安全处置；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废切削液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委托宁波富海环保科技有限公司安全处置、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化学品包装材料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委托宁波市北仑环保固废处置有限公司单位安全处置；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废盐酸委托宁波渤川废液处置有限公司安全处置；生活垃圾委托环卫部门清运。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（五）辐射</w:t>
      </w:r>
    </w:p>
    <w:p>
      <w:pPr>
        <w:adjustRightInd w:val="0"/>
        <w:snapToGrid w:val="0"/>
        <w:spacing w:line="360" w:lineRule="auto"/>
        <w:ind w:left="420" w:left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本项目无辐射源。</w:t>
      </w:r>
    </w:p>
    <w:p>
      <w:p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（六）其他环境保护设施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1、环境风险防范设施</w:t>
      </w:r>
    </w:p>
    <w:p>
      <w:pPr>
        <w:adjustRightInd w:val="0"/>
        <w:snapToGrid w:val="0"/>
        <w:spacing w:line="360" w:lineRule="auto"/>
        <w:ind w:firstLine="420" w:firstLineChars="15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已按要求编制了环境应急预案，并在宁波市生态环境局海曙分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局备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案（编号：330203-2022-023-L），各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环境风险防范措施已基本落实。</w:t>
      </w:r>
    </w:p>
    <w:p>
      <w:pPr>
        <w:adjustRightInd w:val="0"/>
        <w:snapToGrid w:val="0"/>
        <w:spacing w:line="360" w:lineRule="auto"/>
        <w:ind w:firstLine="420" w:firstLineChars="15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内部设有环保专门机构，并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制定相应环境保护制度。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2、在线监测装置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在线监测装置</w:t>
      </w:r>
      <w:r>
        <w:rPr>
          <w:rFonts w:hint="eastAsia" w:ascii="仿宋" w:hAnsi="仿宋" w:eastAsia="仿宋" w:cs="仿宋"/>
          <w:sz w:val="28"/>
          <w:szCs w:val="28"/>
        </w:rPr>
        <w:t>《项目环境影响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报告表</w:t>
      </w:r>
      <w:r>
        <w:rPr>
          <w:rFonts w:hint="eastAsia" w:ascii="仿宋" w:hAnsi="仿宋" w:eastAsia="仿宋" w:cs="仿宋"/>
          <w:sz w:val="28"/>
          <w:szCs w:val="28"/>
        </w:rPr>
        <w:t>》及批复未作要求。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3、其他设施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对照《宁波市金属表面处理行业整治提升技术规范》本项目表面处理工序装备及污染治理基本符合规范要求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left="420" w:left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四、环境保护设施调试效果</w:t>
      </w:r>
    </w:p>
    <w:p>
      <w:pPr>
        <w:adjustRightInd w:val="0"/>
        <w:snapToGrid w:val="0"/>
        <w:spacing w:line="360" w:lineRule="auto"/>
        <w:ind w:left="420" w:left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（一）环保设施处理效率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本项目环评及批复中无环保设施处理效率要求。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（二）污染物排放情况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浙江中一检测研究院股份有限公司于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日~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对本项目进行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了现场检测。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根据出具的《浙江中一检测研究院股份有限公司监测报告（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HJ2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20756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）》检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测结果表明：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20" w:leftChars="200" w:firstLine="140" w:firstLineChars="5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废气治理设施</w:t>
      </w:r>
    </w:p>
    <w:p>
      <w:pPr>
        <w:numPr>
          <w:ilvl w:val="0"/>
          <w:numId w:val="3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废油液回收废气</w:t>
      </w:r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hint="default" w:ascii="仿宋" w:hAnsi="仿宋" w:eastAsia="仿宋" w:cs="仿宋"/>
          <w:color w:val="auto"/>
          <w:sz w:val="28"/>
          <w:szCs w:val="28"/>
        </w:rPr>
        <w:t>抛丸粉尘（颗粒物）、冷镦废气（非甲烷总烃）、热处理废气（非甲烷总烃）、酸洗磷化线废气（氯化氢）、发黑线废气（氯化氢）排放均符合《大气污染物综合排放标准》（GB 16297-1996）标准；冷镦废气（油雾）以及热处理废气（油雾）排放均符合《大气污染物综合排放标准》（上海市地方标准DB31/933-2015）；热处理废气及发黑线废气中液化气燃烧废气以及天然气燃烧废气（颗粒物、二氧化硫和氮氧化物）排放均符合《浙江省工业炉窑大气污染综合治理实施方案》（浙环函〔2019〕315号）标准限值要求；发黑线废气（氨气）以及热处理废气（氨气、臭气浓度）排放均符合《恶臭污染物排放标准》（GB14554-93）标准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20" w:leftChars="200" w:firstLine="140" w:firstLineChars="5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治理设施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验收监测期间，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1#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厂区生产废水排口中pH值、悬浮物、化学需氧量、石油类、阴离子表面活性剂排放浓度均符合《污水综合排放标准》（GB 8978-1996）表4中三级标准，其中氨氮、总磷排放浓度符合《工业企业废水氮、磷污染物间接排放限值》（DB 33/887-2013）中的标准限值。</w:t>
      </w:r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验收监测期间，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2#厂区生产废水排口中pH值、悬浮物、化学需氧量、石油类、阴离子表面活性剂、总锌排放浓度均符合《污水综合排放标准》（GB 8978-1996）表4中三级标准；其中氨氮、总磷排放浓度符合《工业企业废水氮、磷污染物间接排放限值》（DB 33/887-2013）中的标准限值；总铁排放浓度符合《酸洗废水排放总铁浓度限值》（DB33/844-2011）二级排放浓度限值。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、厂界噪声治理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根据监测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结果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宁波华一汽缝实业有限公司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1#厂区及2#厂区厂界四周昼间噪声均符合《工业企业厂界环境噪声排放标准》（GB12348-2008）中的3类标准。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、固体废物治理设施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本项目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金属边角料和除尘器集尘属于一般固废，金属边角料（含油）通过静置后除油达到无滴漏，可达到豁免条件作为一般固废收集后外售综合利用；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槽渣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清洗废液（含油）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污泥（2#厂区）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属于危险废物，委托昱源宁海环保科技股份有限公司安全处置；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废润滑油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废液压油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废柴油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废防锈油、废溶水油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回收废油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污泥（1#厂区）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废油桶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属于危险废物，委托宁波蓝盾环保能源有限公司安全处置；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废切削液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委托宁波富海环保科技有限公司安全处置、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化学品包装材料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委托宁波市北仑环保固废处置有限公司单位安全处置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；废盐酸委托宁波渤川废液处置有限公司安全处置；生活垃圾委托环卫部门清运。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、辐射防护设施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本项目无辐射源。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、污染物排放总量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本项目环评批复无总量控制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指标，经核算污染物排放总量在环评核定的指标范围内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60" w:lineRule="auto"/>
        <w:ind w:left="56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五、工程建设对环境的影响</w:t>
      </w:r>
    </w:p>
    <w:p>
      <w:pPr>
        <w:adjustRightInd w:val="0"/>
        <w:snapToGrid w:val="0"/>
        <w:spacing w:line="360" w:lineRule="auto"/>
        <w:ind w:firstLine="63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项目已按环保“三同时”要求落实了环境保护措施，经监测各类污染物均能做到达标排放，工程建设对环境的影响在可控制范围内。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六、验收结论</w:t>
      </w:r>
    </w:p>
    <w:p>
      <w:pPr>
        <w:adjustRightInd w:val="0"/>
        <w:snapToGrid w:val="0"/>
        <w:spacing w:line="360" w:lineRule="auto"/>
        <w:ind w:firstLine="63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经现场查验，《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宁波华一汽缝实业有限公司年产10亿只螺钉技改项目》环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评手续齐备，主体工程和配套环保工程建设完备，项目建设内容与项目《环境影响评价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报告表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》及其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批复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基本一致，已落实了环保“三同时”和《环境影响评价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报告表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》及其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批复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提出的各项环保要求，竣工环保验收条件具备。验收资料完整齐全，污染物达标排放、环保设施有效运行的验收监测结论明确合理。验收工作组同意该项目通过竣工环境保护验收。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七、后续要求</w:t>
      </w:r>
    </w:p>
    <w:p>
      <w:pPr>
        <w:adjustRightInd w:val="0"/>
        <w:snapToGrid w:val="0"/>
        <w:spacing w:line="360" w:lineRule="auto"/>
        <w:ind w:firstLine="63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、严格遵守环保法律法规，完善内部环保管理制度，强化从事环保工作人员业务培训，完善各项环境保护管理和监测制度，重点加强对污染治理设施的维护、管理及正常运行，确保各项污染物长期稳定达标排放。</w:t>
      </w:r>
    </w:p>
    <w:p>
      <w:pPr>
        <w:adjustRightInd w:val="0"/>
        <w:snapToGrid w:val="0"/>
        <w:spacing w:line="360" w:lineRule="auto"/>
        <w:ind w:firstLine="63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2、进一步完善环保管理制度，规范危险废物暂存及管理。</w:t>
      </w:r>
    </w:p>
    <w:p>
      <w:pPr>
        <w:adjustRightInd w:val="0"/>
        <w:snapToGrid w:val="0"/>
        <w:spacing w:line="360" w:lineRule="auto"/>
        <w:ind w:firstLine="63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按竣工验收规范将竣工验收的相关内容和结论进行公示、公开。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八、验收人员信息</w:t>
      </w:r>
    </w:p>
    <w:p>
      <w:pPr>
        <w:adjustRightInd w:val="0"/>
        <w:snapToGrid w:val="0"/>
        <w:spacing w:line="360" w:lineRule="auto"/>
        <w:ind w:firstLine="63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参加验收的单位及人员名单、验收负责人（建设单位）具体信息见附表：</w:t>
      </w:r>
    </w:p>
    <w:p>
      <w:pPr>
        <w:pStyle w:val="7"/>
        <w:ind w:left="1470" w:right="147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宁波华一汽缝实业有限公司</w:t>
      </w:r>
    </w:p>
    <w:p>
      <w:pPr>
        <w:adjustRightInd w:val="0"/>
        <w:snapToGrid w:val="0"/>
        <w:spacing w:line="360" w:lineRule="auto"/>
        <w:jc w:val="right"/>
        <w:rPr>
          <w:color w:val="FF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</w:t>
      </w:r>
    </w:p>
    <w:p>
      <w:pPr>
        <w:pStyle w:val="12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4495800" cy="5857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5862E"/>
    <w:multiLevelType w:val="singleLevel"/>
    <w:tmpl w:val="C16586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C7A8145"/>
    <w:multiLevelType w:val="singleLevel"/>
    <w:tmpl w:val="2C7A814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9E956C6"/>
    <w:multiLevelType w:val="singleLevel"/>
    <w:tmpl w:val="59E956C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Y2QwZjczYmZiNDYwYmMyNTJkYWM1ODhjMmMxMTAifQ=="/>
  </w:docVars>
  <w:rsids>
    <w:rsidRoot w:val="00172A27"/>
    <w:rsid w:val="0008300E"/>
    <w:rsid w:val="004A6511"/>
    <w:rsid w:val="00737550"/>
    <w:rsid w:val="00772767"/>
    <w:rsid w:val="00884907"/>
    <w:rsid w:val="00B45287"/>
    <w:rsid w:val="00D1433E"/>
    <w:rsid w:val="017D7640"/>
    <w:rsid w:val="032916E6"/>
    <w:rsid w:val="040F1BAA"/>
    <w:rsid w:val="05CB32A4"/>
    <w:rsid w:val="102C1911"/>
    <w:rsid w:val="10D409D1"/>
    <w:rsid w:val="146A74A8"/>
    <w:rsid w:val="15F6043E"/>
    <w:rsid w:val="16B2741B"/>
    <w:rsid w:val="182456C2"/>
    <w:rsid w:val="18445D4A"/>
    <w:rsid w:val="1A4D360A"/>
    <w:rsid w:val="1AE75C92"/>
    <w:rsid w:val="1B436B53"/>
    <w:rsid w:val="1C0A5403"/>
    <w:rsid w:val="1D797486"/>
    <w:rsid w:val="1DF6605F"/>
    <w:rsid w:val="1ECB43C4"/>
    <w:rsid w:val="257801C0"/>
    <w:rsid w:val="2680391F"/>
    <w:rsid w:val="26BF5BD7"/>
    <w:rsid w:val="28071805"/>
    <w:rsid w:val="292C149E"/>
    <w:rsid w:val="2D812297"/>
    <w:rsid w:val="307348D7"/>
    <w:rsid w:val="318D4B9C"/>
    <w:rsid w:val="32056B39"/>
    <w:rsid w:val="322002DD"/>
    <w:rsid w:val="33A349DD"/>
    <w:rsid w:val="34435736"/>
    <w:rsid w:val="34570D3C"/>
    <w:rsid w:val="34787911"/>
    <w:rsid w:val="34EB76F8"/>
    <w:rsid w:val="37370864"/>
    <w:rsid w:val="38AB6121"/>
    <w:rsid w:val="38E87D68"/>
    <w:rsid w:val="433A36BF"/>
    <w:rsid w:val="434117D0"/>
    <w:rsid w:val="43A014B2"/>
    <w:rsid w:val="45717BEE"/>
    <w:rsid w:val="46AE3C1D"/>
    <w:rsid w:val="46E945F7"/>
    <w:rsid w:val="46F76A39"/>
    <w:rsid w:val="48B476B7"/>
    <w:rsid w:val="4A464C06"/>
    <w:rsid w:val="4A4B34C3"/>
    <w:rsid w:val="4BCD6DAB"/>
    <w:rsid w:val="4C1E32C8"/>
    <w:rsid w:val="4C2E28B4"/>
    <w:rsid w:val="4C8C6DCE"/>
    <w:rsid w:val="4E5675F8"/>
    <w:rsid w:val="4FDC5DB5"/>
    <w:rsid w:val="5040456A"/>
    <w:rsid w:val="506A3D30"/>
    <w:rsid w:val="5116614B"/>
    <w:rsid w:val="51A6321F"/>
    <w:rsid w:val="52BE265C"/>
    <w:rsid w:val="537D0C38"/>
    <w:rsid w:val="54497FD4"/>
    <w:rsid w:val="554D6C24"/>
    <w:rsid w:val="59206D12"/>
    <w:rsid w:val="5A7D6B5B"/>
    <w:rsid w:val="5B664DA3"/>
    <w:rsid w:val="5B9D489D"/>
    <w:rsid w:val="5C67627D"/>
    <w:rsid w:val="61C420EE"/>
    <w:rsid w:val="643A4E84"/>
    <w:rsid w:val="6478715D"/>
    <w:rsid w:val="647D527B"/>
    <w:rsid w:val="65EA2AE3"/>
    <w:rsid w:val="66446915"/>
    <w:rsid w:val="6732105E"/>
    <w:rsid w:val="679C4B88"/>
    <w:rsid w:val="67E56229"/>
    <w:rsid w:val="6DCE16B4"/>
    <w:rsid w:val="700F4522"/>
    <w:rsid w:val="70261E21"/>
    <w:rsid w:val="711939CB"/>
    <w:rsid w:val="716C63F3"/>
    <w:rsid w:val="78071524"/>
    <w:rsid w:val="78953DFA"/>
    <w:rsid w:val="78EB0325"/>
    <w:rsid w:val="7AE70803"/>
    <w:rsid w:val="7DD9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customStyle="1" w:styleId="3">
    <w:name w:val="正文首行缩进2个字 Char"/>
    <w:basedOn w:val="1"/>
    <w:qFormat/>
    <w:uiPriority w:val="0"/>
    <w:pPr>
      <w:ind w:firstLine="480" w:firstLineChars="200"/>
    </w:pPr>
    <w:rPr>
      <w:rFonts w:eastAsia="楷体"/>
      <w:sz w:val="24"/>
    </w:rPr>
  </w:style>
  <w:style w:type="paragraph" w:styleId="4">
    <w:name w:val="List 3"/>
    <w:basedOn w:val="1"/>
    <w:qFormat/>
    <w:uiPriority w:val="0"/>
    <w:pPr>
      <w:widowControl/>
      <w:spacing w:line="240" w:lineRule="auto"/>
      <w:ind w:left="0" w:leftChars="0" w:firstLine="0" w:firstLineChars="0"/>
      <w:jc w:val="center"/>
    </w:pPr>
    <w:rPr>
      <w:rFonts w:ascii="Times New Roman" w:hAnsi="Times New Roman" w:cs="宋体"/>
      <w:kern w:val="0"/>
      <w:sz w:val="21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8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9">
    <w:name w:val="toc 1"/>
    <w:basedOn w:val="1"/>
    <w:next w:val="1"/>
    <w:unhideWhenUsed/>
    <w:qFormat/>
    <w:uiPriority w:val="39"/>
  </w:style>
  <w:style w:type="paragraph" w:customStyle="1" w:styleId="12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Calibri" w:eastAsia="宋体" w:cs="Times New Roman"/>
      <w:color w:val="000000"/>
      <w:sz w:val="24"/>
      <w:szCs w:val="22"/>
      <w:lang w:val="en-US" w:eastAsia="zh-CN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表格文字2"/>
    <w:basedOn w:val="1"/>
    <w:qFormat/>
    <w:uiPriority w:val="0"/>
    <w:pPr>
      <w:tabs>
        <w:tab w:val="left" w:pos="277"/>
        <w:tab w:val="left" w:pos="600"/>
        <w:tab w:val="left" w:pos="780"/>
        <w:tab w:val="left" w:pos="2517"/>
      </w:tabs>
      <w:adjustRightInd w:val="0"/>
      <w:spacing w:before="60"/>
      <w:jc w:val="center"/>
      <w:textAlignment w:val="baseline"/>
    </w:pPr>
    <w:rPr>
      <w:kern w:val="0"/>
    </w:rPr>
  </w:style>
  <w:style w:type="paragraph" w:customStyle="1" w:styleId="15">
    <w:name w:val="正文 首行缩进:  2 字符"/>
    <w:basedOn w:val="1"/>
    <w:qFormat/>
    <w:uiPriority w:val="0"/>
    <w:pPr>
      <w:tabs>
        <w:tab w:val="left" w:pos="5400"/>
      </w:tabs>
      <w:spacing w:before="60" w:line="460" w:lineRule="exact"/>
      <w:ind w:firstLine="480" w:firstLineChars="200"/>
    </w:pPr>
    <w:rPr>
      <w:rFonts w:ascii="Arial" w:hAnsi="Arial" w:eastAsia="Arial" w:cs="Arial"/>
      <w:color w:val="000000"/>
      <w:sz w:val="24"/>
      <w:szCs w:val="24"/>
    </w:rPr>
  </w:style>
  <w:style w:type="paragraph" w:customStyle="1" w:styleId="16">
    <w:name w:val="正文首行缩进 2 + Times New Roman"/>
    <w:basedOn w:val="1"/>
    <w:qFormat/>
    <w:uiPriority w:val="99"/>
    <w:pPr>
      <w:tabs>
        <w:tab w:val="left" w:pos="0"/>
        <w:tab w:val="left" w:pos="3150"/>
      </w:tabs>
      <w:autoSpaceDE w:val="0"/>
      <w:autoSpaceDN w:val="0"/>
      <w:spacing w:line="360" w:lineRule="auto"/>
      <w:ind w:firstLine="480"/>
      <w:jc w:val="left"/>
    </w:pPr>
    <w:rPr>
      <w:kern w:val="0"/>
      <w:sz w:val="24"/>
    </w:rPr>
  </w:style>
  <w:style w:type="paragraph" w:styleId="1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3813</Words>
  <Characters>4182</Characters>
  <Lines>17</Lines>
  <Paragraphs>5</Paragraphs>
  <TotalTime>9</TotalTime>
  <ScaleCrop>false</ScaleCrop>
  <LinksUpToDate>false</LinksUpToDate>
  <CharactersWithSpaces>4199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2020-04-02T07:25:00Z</dcterms:created>
  <dc:creator>PC</dc:creator>
  <cp:lastModifiedBy>潘</cp:lastModifiedBy>
  <dcterms:modified xsi:type="dcterms:W3CDTF">2022-09-08T08:19:56Z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FAC170D69B8C450EB50E38898C833704</vt:lpwstr>
  </property>
</Properties>
</file>