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东睦新材料集团股份有限公司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浙江省宁波市鄞州工业园区景江路1508号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杭许洁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东睦新材料集团股份有限公司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陈晓雷、查平、徐雷、王文燕、高真真、毛佳丹、郑刚超、徐磊杰、井瑜、杨斯超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汪鹏利、井瑜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杭许洁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陈晓雷、查平、徐雷、王文燕、高真真、毛佳丹、郑刚超、徐磊杰、井瑜、杨斯超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杭许洁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48260</wp:posOffset>
                  </wp:positionV>
                  <wp:extent cx="3979545" cy="2393950"/>
                  <wp:effectExtent l="0" t="0" r="13335" b="13970"/>
                  <wp:wrapNone/>
                  <wp:docPr id="2" name="图片 2" descr="F:\扫描\2022年照片\JC220717\QQ图片20220715154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717\QQ图片20220715154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545" cy="239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A247592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2022-10-17T10:25:03Z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646A4A9C480E40DF9E301F44CA8EB2BF</vt:lpwstr>
  </property>
</Properties>
</file>