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宁波腾宇金属制品有限公司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cs="Times New Roman" w:asciiTheme="minorEastAsia" w:hAnsiTheme="minorEastAsia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宁波市北仑区大碶普陀山东路1号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白瑜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宁波腾宇金属制品有限公司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cs="Times New Roman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</w:rPr>
              <w:t>朱佳欢、李丹霞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420" w:firstLineChars="200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2022.7.10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周之桢、张龙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0" w:firstLineChars="100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白瑜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2022.7.18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朱佳欢、李丹霞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白瑜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446405</wp:posOffset>
                  </wp:positionH>
                  <wp:positionV relativeFrom="paragraph">
                    <wp:posOffset>69850</wp:posOffset>
                  </wp:positionV>
                  <wp:extent cx="3141345" cy="2356485"/>
                  <wp:effectExtent l="0" t="0" r="1905" b="5715"/>
                  <wp:wrapNone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345" cy="235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FE81218"/>
    <w:rsid w:val="49167ADB"/>
    <w:rsid w:val="4AE0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189</Words>
  <Characters>205</Characters>
  <Lines>2</Lines>
  <Paragraphs>1</Paragraphs>
  <TotalTime>3</TotalTime>
  <ScaleCrop>false</ScaleCrop>
  <LinksUpToDate>false</LinksUpToDate>
  <CharactersWithSpaces>205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2022-10-18T06:53:39Z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4FC0E674AC674A9E86130AF1F3E952A3</vt:lpwstr>
  </property>
</Properties>
</file>