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万华化学（宁波）有限公司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宁波大榭开发区环岛北路39号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舒莎莎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万华化学（宁波）有限公司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王彦南、徐磊杰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查平、张艾晓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舒莎莎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王彦南、徐磊杰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舒莎莎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88644D6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2022-10-17T07:34:51Z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5FA28C4F176843FE9CBD2B202F5537E3</vt:lpwstr>
  </property>
</Properties>
</file>