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宁波巨化化工科技有限公司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bookmarkStart w:id="2" w:name="_GoBack"/>
            <w:bookmarkEnd w:id="2"/>
            <w:bookmarkStart w:id="0" w:name="_Hlk136953264"/>
            <w:r>
              <w:rPr>
                <w:rFonts w:hint="eastAsia" w:ascii="Times New Roman" w:hAnsi="Times New Roman" w:cs="Times New Roman"/>
                <w:lang w:val="en-US" w:eastAsia="zh-CN"/>
              </w:rPr>
              <w:t>宁波石化经济技术开发区跃进塘路366号</w:t>
            </w:r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江楠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bookmarkStart w:id="1" w:name="_Hlk136953190"/>
            <w:r>
              <w:rPr>
                <w:rFonts w:hint="eastAsia" w:ascii="Times New Roman" w:hAnsi="Times New Roman" w:cs="Times New Roman"/>
                <w:lang w:val="en-US" w:eastAsia="zh-CN"/>
              </w:rPr>
              <w:t>宁波巨化化工科技有限公司3万吨/年丙酮衍生物项目职业病危害预评价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井  瑜、王文燕、纪燕平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、王彦南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215</Characters>
  <Lines>2</Lines>
  <Paragraphs>1</Paragraphs>
  <TotalTime>0</TotalTime>
  <ScaleCrop>false</ScaleCrop>
  <LinksUpToDate>false</LinksUpToDate>
  <CharactersWithSpaces>218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倾听</cp:lastModifiedBy>
  <dcterms:modified xsi:type="dcterms:W3CDTF">2023-06-21T00:55:47Z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