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8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940"/>
        <w:gridCol w:w="2218"/>
        <w:gridCol w:w="1132"/>
        <w:gridCol w:w="53"/>
        <w:gridCol w:w="2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szCs w:val="28"/>
              </w:rPr>
            </w:pPr>
            <w:r>
              <w:rPr>
                <w:rFonts w:hint="default" w:ascii="Times New Roman" w:hAnsi="Times New Roman" w:cs="Times New Roman"/>
                <w:szCs w:val="28"/>
              </w:rPr>
              <w:t>建设单位（用人单位）名称</w:t>
            </w:r>
          </w:p>
        </w:tc>
        <w:tc>
          <w:tcPr>
            <w:tcW w:w="5576"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firstLine="420" w:firstLineChars="200"/>
              <w:jc w:val="center"/>
              <w:rPr>
                <w:rFonts w:hint="default" w:ascii="Times New Roman" w:hAnsi="Times New Roman" w:cs="Times New Roman"/>
                <w:szCs w:val="28"/>
              </w:rPr>
            </w:pPr>
            <w:r>
              <w:rPr>
                <w:rFonts w:hint="eastAsia" w:ascii="Times New Roman" w:hAnsi="Times New Roman" w:cs="Times New Roman"/>
                <w:szCs w:val="28"/>
                <w:lang w:val="en-US" w:eastAsia="zh-CN"/>
              </w:rPr>
              <w:t>万华化学（宁波）氯碱有限公司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szCs w:val="28"/>
              </w:rPr>
            </w:pPr>
            <w:r>
              <w:rPr>
                <w:rFonts w:hint="default" w:ascii="Times New Roman" w:hAnsi="Times New Roman" w:cs="Times New Roman"/>
                <w:szCs w:val="28"/>
              </w:rPr>
              <w:t>地理位置</w:t>
            </w:r>
          </w:p>
        </w:tc>
        <w:tc>
          <w:tcPr>
            <w:tcW w:w="22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Cs w:val="28"/>
              </w:rPr>
            </w:pPr>
            <w:r>
              <w:rPr>
                <w:rFonts w:hint="eastAsia" w:ascii="Times New Roman" w:hAnsi="Times New Roman" w:cs="Times New Roman"/>
                <w:szCs w:val="28"/>
                <w:lang w:val="en-US" w:eastAsia="zh-CN"/>
              </w:rPr>
              <w:t>大榭开发区东港北路</w:t>
            </w:r>
            <w:r>
              <w:rPr>
                <w:rFonts w:hint="default" w:ascii="Times New Roman" w:hAnsi="Times New Roman" w:cs="Times New Roman"/>
                <w:szCs w:val="28"/>
                <w:lang w:val="en-US" w:eastAsia="zh-CN"/>
              </w:rPr>
              <w:t>1</w:t>
            </w:r>
            <w:r>
              <w:rPr>
                <w:rFonts w:hint="eastAsia" w:ascii="Times New Roman" w:hAnsi="Times New Roman" w:cs="Times New Roman"/>
                <w:szCs w:val="28"/>
                <w:lang w:val="en-US" w:eastAsia="zh-CN"/>
              </w:rPr>
              <w:t>号</w:t>
            </w:r>
          </w:p>
        </w:tc>
        <w:tc>
          <w:tcPr>
            <w:tcW w:w="1185" w:type="dxa"/>
            <w:gridSpan w:val="2"/>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Cs w:val="28"/>
              </w:rPr>
            </w:pPr>
            <w:r>
              <w:rPr>
                <w:rFonts w:hint="default" w:ascii="Times New Roman" w:hAnsi="Times New Roman" w:cs="Times New Roman"/>
                <w:szCs w:val="28"/>
              </w:rPr>
              <w:t>联系人</w:t>
            </w:r>
          </w:p>
        </w:tc>
        <w:tc>
          <w:tcPr>
            <w:tcW w:w="217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szCs w:val="28"/>
                <w:lang w:val="en-US" w:eastAsia="zh-CN"/>
              </w:rPr>
            </w:pPr>
            <w:r>
              <w:rPr>
                <w:rFonts w:hint="eastAsia" w:ascii="Times New Roman" w:hAnsi="Times New Roman" w:cs="Times New Roman"/>
                <w:szCs w:val="28"/>
                <w:lang w:val="en-US" w:eastAsia="zh-CN"/>
              </w:rPr>
              <w:t>陈楠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line="240" w:lineRule="auto"/>
              <w:ind w:left="0" w:right="0"/>
              <w:jc w:val="left"/>
              <w:rPr>
                <w:rFonts w:hint="default" w:ascii="Times New Roman" w:hAnsi="Times New Roman" w:cs="Times New Roman"/>
                <w:szCs w:val="28"/>
              </w:rPr>
            </w:pPr>
            <w:r>
              <w:rPr>
                <w:rFonts w:hint="default" w:ascii="Times New Roman" w:hAnsi="Times New Roman" w:cs="Times New Roman"/>
                <w:szCs w:val="28"/>
              </w:rPr>
              <w:t>项目名称</w:t>
            </w:r>
          </w:p>
        </w:tc>
        <w:tc>
          <w:tcPr>
            <w:tcW w:w="5576"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adjustRightInd w:val="0"/>
              <w:snapToGrid w:val="0"/>
              <w:spacing w:line="240" w:lineRule="auto"/>
              <w:rPr>
                <w:rFonts w:hint="default" w:ascii="Times New Roman" w:hAnsi="Times New Roman" w:cs="Times New Roman"/>
                <w:szCs w:val="28"/>
              </w:rPr>
            </w:pPr>
            <w:r>
              <w:rPr>
                <w:rFonts w:hint="eastAsia" w:ascii="Times New Roman" w:hAnsi="Times New Roman" w:cs="Times New Roman"/>
                <w:szCs w:val="28"/>
                <w:lang w:val="en-US" w:eastAsia="zh-CN"/>
              </w:rPr>
              <w:t>烧碱蒸发装置及成品罐区提升改造项目（新建30万吨/年50%烧碱蒸发项目）</w:t>
            </w:r>
            <w:r>
              <w:rPr>
                <w:rFonts w:hint="default" w:ascii="Times New Roman" w:hAnsi="Times New Roman" w:cs="Times New Roman"/>
                <w:szCs w:val="28"/>
                <w:lang w:val="en-US" w:eastAsia="zh-CN"/>
              </w:rPr>
              <w:t>职业病危害</w:t>
            </w:r>
            <w:r>
              <w:rPr>
                <w:rFonts w:hint="eastAsia" w:ascii="Times New Roman" w:hAnsi="Times New Roman" w:cs="Times New Roman"/>
                <w:szCs w:val="28"/>
                <w:lang w:val="en-US" w:eastAsia="zh-CN"/>
              </w:rPr>
              <w:t>预</w:t>
            </w:r>
            <w:r>
              <w:rPr>
                <w:rFonts w:hint="default" w:ascii="Times New Roman" w:hAnsi="Times New Roman" w:cs="Times New Roman"/>
                <w:szCs w:val="28"/>
                <w:lang w:val="en-US" w:eastAsia="zh-CN"/>
              </w:rPr>
              <w:t>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8516" w:type="dxa"/>
            <w:gridSpan w:val="5"/>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rPr>
            </w:pPr>
            <w:r>
              <w:rPr>
                <w:rFonts w:hint="default" w:ascii="Times New Roman" w:hAnsi="Times New Roman" w:cs="Times New Roman"/>
              </w:rPr>
              <w:t>项目简介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万华化学（宁波）氯碱有限公司（以下简称“万华（宁波）氯碱”）是一家专业生产氯碱产品的股份制企业。其前身是1958年建厂的宁波电化厂。经过几十年的发展，企业名称先后更名为明日化学集团有限公司、宁波东港电化有限责任公司等。2013年9月1日更名为万华化学（宁波）氯碱有限公司，由万华化学集团股份有限公司、宁波工业投资集团有限公司、中信兴业投资宁波公司等股东组成。</w:t>
            </w:r>
          </w:p>
          <w:p>
            <w:pPr>
              <w:keepNext w:val="0"/>
              <w:keepLines w:val="0"/>
              <w:suppressLineNumbers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万华（宁波）氯碱位于大榭开发区万华工业园内东港北路1号，注册资本：17000万元人民币。现有员工约300人。主要产品有烧碱、液氯、次氯酸钠、硫酸等，目前产能氢氧化钠55万吨/年，盐酸（≥31%）10.8万吨/年，液氯46.02万吨/年，次氯酸钠30万吨/年，硫酸1.5万吨/年，氢气1.375万吨/年。</w:t>
            </w:r>
          </w:p>
          <w:p>
            <w:pPr>
              <w:keepNext w:val="0"/>
              <w:keepLines w:val="0"/>
              <w:suppressLineNumbers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万华化学（宁波）氯碱有限公司目前氯碱产品中32%烧碱的产能为65万吨/年，由于32%液碱的销售压力比较大，在液碱销售淡季时候，通过生产50%浓碱，增加产品形态多样化，可以有效的缓解液碱销售的压力。</w:t>
            </w:r>
          </w:p>
          <w:p>
            <w:pPr>
              <w:keepNext w:val="0"/>
              <w:keepLines w:val="0"/>
              <w:suppressLineNumbers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32%液碱浓缩后，部分用于出口，可以避免国内市场烧碱产能过剩时对液碱的销售造成的压力；32%离子膜烧碱产品单一，将一部分烧碱浓缩为50%浓碱，调节企业产品结构，满足不同行业用户对烧碱产品的需求，提高产品的市场竞争能力和应变能力。同时，烧碱浓缩后，储存所需空间更小，运输成本降低。为此，万华（宁波）氯碱拟利用“万华化学（宁波）氯碱”现有蒸发装置西侧新建一套30万吨/年50%碱蒸发装置。</w:t>
            </w:r>
          </w:p>
          <w:p>
            <w:pPr>
              <w:keepNext w:val="0"/>
              <w:keepLines w:val="0"/>
              <w:suppressLineNumbers w:val="0"/>
              <w:spacing w:before="0" w:beforeAutospacing="0" w:after="0" w:afterAutospacing="0"/>
              <w:ind w:left="0" w:right="0" w:firstLine="420" w:firstLineChars="200"/>
              <w:jc w:val="left"/>
              <w:rPr>
                <w:rFonts w:hint="default" w:ascii="Times New Roman" w:hAnsi="Times New Roman" w:cs="Times New Roman"/>
                <w:szCs w:val="28"/>
              </w:rPr>
            </w:pPr>
            <w:r>
              <w:rPr>
                <w:rFonts w:hint="eastAsia" w:ascii="Times New Roman" w:hAnsi="Times New Roman" w:cs="Times New Roman"/>
                <w:szCs w:val="28"/>
                <w:lang w:val="en-US" w:eastAsia="zh-CN"/>
              </w:rPr>
              <w:t>拟建项目于2023年4月20日在北仑区发展和改革局进行了备案，备案文号为2304-330206-04-01-964877，2023年2月由上海华谊有限公司完成了项目建议书的编制。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szCs w:val="28"/>
              </w:rPr>
            </w:pPr>
            <w:r>
              <w:rPr>
                <w:rFonts w:hint="default" w:ascii="Times New Roman" w:hAnsi="Times New Roman" w:cs="Times New Roman"/>
                <w:szCs w:val="28"/>
              </w:rPr>
              <w:t>现场调查时间</w:t>
            </w:r>
          </w:p>
        </w:tc>
        <w:tc>
          <w:tcPr>
            <w:tcW w:w="5576"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Cs w:val="28"/>
              </w:rPr>
            </w:pPr>
            <w:r>
              <w:rPr>
                <w:rFonts w:hint="eastAsia" w:ascii="Times New Roman" w:hAnsi="Times New Roman" w:cs="Times New Roman"/>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szCs w:val="28"/>
              </w:rPr>
            </w:pPr>
            <w:r>
              <w:rPr>
                <w:rFonts w:hint="default" w:ascii="Times New Roman" w:hAnsi="Times New Roman" w:cs="Times New Roman"/>
                <w:szCs w:val="28"/>
              </w:rPr>
              <w:t>现场调查技术人员</w:t>
            </w:r>
          </w:p>
        </w:tc>
        <w:tc>
          <w:tcPr>
            <w:tcW w:w="22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Cs w:val="28"/>
              </w:rPr>
            </w:pPr>
            <w:r>
              <w:rPr>
                <w:rFonts w:hint="eastAsia" w:ascii="Times New Roman" w:hAnsi="Times New Roman" w:cs="Times New Roman"/>
                <w:szCs w:val="28"/>
              </w:rPr>
              <w:t>/</w:t>
            </w:r>
          </w:p>
        </w:tc>
        <w:tc>
          <w:tcPr>
            <w:tcW w:w="1132" w:type="dxa"/>
            <w:tcBorders>
              <w:top w:val="single" w:color="auto" w:sz="4" w:space="0"/>
              <w:left w:val="single" w:color="auto" w:sz="4" w:space="0"/>
              <w:bottom w:val="single" w:color="auto" w:sz="4" w:space="0"/>
              <w:right w:val="single" w:color="auto" w:sz="4" w:space="0"/>
            </w:tcBorders>
            <w:shd w:val="clear" w:color="auto" w:fill="92D05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Cs w:val="28"/>
              </w:rPr>
            </w:pPr>
            <w:r>
              <w:rPr>
                <w:rFonts w:hint="default" w:ascii="Times New Roman" w:hAnsi="Times New Roman" w:cs="Times New Roman"/>
                <w:szCs w:val="28"/>
              </w:rPr>
              <w:t>企业陪同人</w:t>
            </w:r>
          </w:p>
        </w:tc>
        <w:tc>
          <w:tcPr>
            <w:tcW w:w="222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Cs w:val="28"/>
              </w:rPr>
            </w:pPr>
            <w:r>
              <w:rPr>
                <w:rFonts w:hint="eastAsia" w:ascii="Times New Roman" w:hAnsi="Times New Roman" w:cs="Times New Roman"/>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szCs w:val="28"/>
              </w:rPr>
            </w:pPr>
            <w:r>
              <w:rPr>
                <w:rFonts w:hint="default" w:ascii="Times New Roman" w:hAnsi="Times New Roman" w:cs="Times New Roman"/>
                <w:szCs w:val="28"/>
              </w:rPr>
              <w:t>现场采样、检测时间</w:t>
            </w:r>
          </w:p>
        </w:tc>
        <w:tc>
          <w:tcPr>
            <w:tcW w:w="5576"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Cs w:val="28"/>
              </w:rPr>
            </w:pPr>
            <w:r>
              <w:rPr>
                <w:rFonts w:hint="default" w:ascii="Times New Roman" w:hAnsi="Times New Roman" w:cs="Times New Roman"/>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940"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rPr>
            </w:pPr>
            <w:r>
              <w:rPr>
                <w:rFonts w:hint="default" w:ascii="Times New Roman" w:hAnsi="Times New Roman" w:cs="Times New Roman"/>
              </w:rPr>
              <w:t>现场采样、检测人员</w:t>
            </w:r>
          </w:p>
        </w:tc>
        <w:tc>
          <w:tcPr>
            <w:tcW w:w="221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w:t>
            </w:r>
          </w:p>
        </w:tc>
        <w:tc>
          <w:tcPr>
            <w:tcW w:w="1185" w:type="dxa"/>
            <w:gridSpan w:val="2"/>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企业陪同人</w:t>
            </w:r>
          </w:p>
        </w:tc>
        <w:tc>
          <w:tcPr>
            <w:tcW w:w="217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eastAsia" w:ascii="Times New Roman" w:hAnsi="Times New Roman" w:cs="Times New Roman"/>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rPr>
            </w:pPr>
            <w:r>
              <w:rPr>
                <w:rFonts w:hint="default" w:ascii="Times New Roman" w:hAnsi="Times New Roman" w:cs="Times New Roman"/>
              </w:rPr>
              <w:t>建设单位（用人单位）职业病危害因素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left"/>
              <w:rPr>
                <w:rFonts w:hint="default" w:ascii="Times New Roman" w:hAnsi="Times New Roman" w:cs="Times New Roman"/>
              </w:rPr>
            </w:pPr>
            <w:r>
              <w:rPr>
                <w:rFonts w:hint="eastAsia" w:ascii="Times New Roman" w:hAnsi="Times New Roman" w:cs="Times New Roman"/>
                <w:szCs w:val="28"/>
                <w:lang w:val="en-US" w:eastAsia="zh-CN"/>
              </w:rPr>
              <w:t>氢氧化钠、噪声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检测结果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516" w:type="dxa"/>
            <w:gridSpan w:val="5"/>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suppressLineNumbers w:val="0"/>
              <w:tabs>
                <w:tab w:val="left" w:pos="0"/>
                <w:tab w:val="left" w:pos="540"/>
              </w:tabs>
              <w:snapToGrid w:val="0"/>
              <w:spacing w:before="0" w:beforeAutospacing="0" w:after="0" w:afterAutospacing="0"/>
              <w:ind w:left="0" w:right="0" w:firstLine="420" w:firstLineChars="200"/>
              <w:jc w:val="center"/>
              <w:rPr>
                <w:rFonts w:hint="default" w:ascii="Times New Roman" w:hAnsi="Times New Roman" w:cs="Times New Roman"/>
              </w:rPr>
            </w:pPr>
            <w:r>
              <w:rPr>
                <w:rFonts w:hint="default" w:ascii="Times New Roman" w:hAnsi="Times New Roman" w:cs="Times New Roman"/>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rPr>
            </w:pPr>
            <w:r>
              <w:rPr>
                <w:rFonts w:hint="default" w:ascii="Times New Roman" w:hAnsi="Times New Roman" w:cs="Times New Roman"/>
              </w:rPr>
              <w:t>评价结论与建议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suppressLineNumbers w:val="0"/>
              <w:adjustRightInd w:val="0"/>
              <w:spacing w:before="0" w:beforeAutospacing="0" w:after="0" w:afterAutospacing="0"/>
              <w:ind w:left="0" w:right="0"/>
              <w:jc w:val="left"/>
              <w:rPr>
                <w:rFonts w:hint="default" w:ascii="Times New Roman" w:hAnsi="Times New Roman" w:cs="Times New Roman"/>
                <w:b/>
                <w:szCs w:val="28"/>
              </w:rPr>
            </w:pPr>
            <w:r>
              <w:rPr>
                <w:rFonts w:hint="default" w:ascii="Times New Roman" w:hAnsi="Times New Roman" w:cs="Times New Roman"/>
                <w:b/>
                <w:szCs w:val="28"/>
              </w:rPr>
              <w:t>评价结论:</w:t>
            </w:r>
          </w:p>
          <w:p>
            <w:pPr>
              <w:keepNext w:val="0"/>
              <w:keepLines w:val="0"/>
              <w:suppressLineNumbers w:val="0"/>
              <w:adjustRightInd w:val="0"/>
              <w:snapToGrid w:val="0"/>
              <w:spacing w:before="0" w:beforeAutospacing="0" w:after="0" w:afterAutospacing="0"/>
              <w:ind w:left="0" w:right="0" w:firstLine="420" w:firstLineChars="200"/>
              <w:jc w:val="left"/>
              <w:rPr>
                <w:rFonts w:hint="default" w:ascii="Times New Roman" w:hAnsi="Times New Roman" w:cs="Times New Roman"/>
                <w:szCs w:val="28"/>
                <w:lang w:val="en-US" w:eastAsia="zh-CN"/>
              </w:rPr>
            </w:pPr>
            <w:r>
              <w:rPr>
                <w:rFonts w:hint="eastAsia" w:ascii="Times New Roman" w:hAnsi="Times New Roman" w:cs="Times New Roman"/>
                <w:szCs w:val="28"/>
                <w:lang w:val="en-US" w:eastAsia="zh-CN"/>
              </w:rPr>
              <w:t>本预评价报告对万华化学（宁波）氯碱有限公司烧碱蒸发装置及成品罐区提升改造项目（新建30万吨/年50%烧碱蒸发项目）进行了综合分析，拟建项目在采取了拟采取的职业病防护措施和本报告中提出的补充措施及建议情况下，在正常生产运行情况下，能够满足职业病防治方面法律、法规、标准的要求，拟建项目在职业病防治方面可行。</w:t>
            </w:r>
          </w:p>
          <w:p>
            <w:pPr>
              <w:keepNext w:val="0"/>
              <w:keepLines w:val="0"/>
              <w:suppressLineNumbers w:val="0"/>
              <w:spacing w:before="0" w:beforeAutospacing="0" w:after="0" w:afterAutospacing="0"/>
              <w:ind w:left="0" w:right="0"/>
              <w:jc w:val="left"/>
              <w:rPr>
                <w:rFonts w:hint="default" w:ascii="Times New Roman" w:hAnsi="Times New Roman" w:cs="Times New Roman"/>
              </w:rPr>
            </w:pPr>
            <w:r>
              <w:rPr>
                <w:rFonts w:hint="default" w:ascii="Times New Roman" w:hAnsi="Times New Roman" w:cs="Times New Roman"/>
                <w:b/>
                <w:szCs w:val="28"/>
              </w:rPr>
              <w:t>建议：</w:t>
            </w:r>
          </w:p>
          <w:p>
            <w:pPr>
              <w:keepNext w:val="0"/>
              <w:keepLines w:val="0"/>
              <w:suppressLineNumbers w:val="0"/>
              <w:adjustRightInd w:val="0"/>
              <w:snapToGrid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（1）应将工作场所可能产生的职业病危害如实告知劳动者，在生产车间醒目位置设置职业病防治公告栏，并在可能产生职业病危害的作业岗位以及产生职业病危害的设备、材料、贮存场所等设置警示标识。</w:t>
            </w:r>
          </w:p>
          <w:p>
            <w:pPr>
              <w:keepNext w:val="0"/>
              <w:keepLines w:val="0"/>
              <w:suppressLineNumbers w:val="0"/>
              <w:adjustRightInd w:val="0"/>
              <w:snapToGrid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（2）根据《职业健康监护技术规范》（GBZ 188-2014）的要求，做好拟建项目工人上岗前、在岗期间、离岗时的职业健康检查，并将检查结果书面告知劳动者；检查项目及周期按照标准的规定执行及落实；杜绝存在职业禁忌的劳动者从事有毒有害作业，对发现职业健康损害者，应按规定给予复查、诊疗，并妥善处置。</w:t>
            </w:r>
            <w:bookmarkStart w:id="0" w:name="_GoBack"/>
            <w:bookmarkEnd w:id="0"/>
          </w:p>
          <w:p>
            <w:pPr>
              <w:keepNext w:val="0"/>
              <w:keepLines w:val="0"/>
              <w:suppressLineNumbers w:val="0"/>
              <w:adjustRightInd w:val="0"/>
              <w:snapToGrid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（3）拟建项目个人防护用品的管理及购置应由专人负责，并按要求开展员工的使用、维护方面培训。</w:t>
            </w:r>
          </w:p>
          <w:p>
            <w:pPr>
              <w:keepNext w:val="0"/>
              <w:keepLines w:val="0"/>
              <w:suppressLineNumbers w:val="0"/>
              <w:adjustRightInd w:val="0"/>
              <w:snapToGrid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（4）厂区车间浴室应按劳动者最多的班组人数进行设计，车间卫生等级为2级的作业场所每个淋浴器使用人数上限值为6人，车间卫生等级为3级的作业场所每个淋浴器使用人数上限值为9人</w:t>
            </w:r>
            <w:r>
              <w:rPr>
                <w:rFonts w:hint="eastAsia" w:ascii="Times New Roman" w:hAnsi="Times New Roman" w:cs="Times New Roman"/>
                <w:szCs w:val="28"/>
                <w:lang w:val="en-US" w:eastAsia="zh-CN"/>
              </w:rPr>
              <w:t>。</w:t>
            </w:r>
          </w:p>
          <w:p>
            <w:pPr>
              <w:keepNext w:val="0"/>
              <w:keepLines w:val="0"/>
              <w:suppressLineNumbers w:val="0"/>
              <w:adjustRightInd w:val="0"/>
              <w:snapToGrid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（5）初步设计时，建设单位应依据《建设项目职业病防护设施“三同时”监督管理办法》（国家安全生产监督管理总局令第90号）的要求，编制建设项目职业病防护设施设计专篇。</w:t>
            </w:r>
          </w:p>
          <w:p>
            <w:pPr>
              <w:keepNext w:val="0"/>
              <w:keepLines w:val="0"/>
              <w:suppressLineNumbers w:val="0"/>
              <w:adjustRightInd w:val="0"/>
              <w:snapToGrid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6）建设施工期，建设单位应要求施工单位按照《中华人民共和国职业病防治法》的要求开展各项职业病防治工作，提交建设施工期工作场所职业病危害因素检测与评价、职业健康监护等相关资料和职业病防治总结报告。</w:t>
            </w:r>
          </w:p>
          <w:p>
            <w:pPr>
              <w:keepNext w:val="0"/>
              <w:keepLines w:val="0"/>
              <w:suppressLineNumbers w:val="0"/>
              <w:adjustRightInd w:val="0"/>
              <w:snapToGrid w:val="0"/>
              <w:spacing w:before="0" w:beforeAutospacing="0" w:after="0" w:afterAutospacing="0"/>
              <w:ind w:left="0" w:right="0" w:firstLine="420" w:firstLineChars="200"/>
              <w:jc w:val="left"/>
              <w:rPr>
                <w:rFonts w:hint="default"/>
                <w:szCs w:val="28"/>
              </w:rPr>
            </w:pPr>
            <w:r>
              <w:rPr>
                <w:rFonts w:hint="eastAsia" w:ascii="Times New Roman" w:hAnsi="Times New Roman" w:cs="Times New Roman"/>
                <w:szCs w:val="28"/>
                <w:lang w:val="en-US" w:eastAsia="zh-CN"/>
              </w:rPr>
              <w:t>（7）在竣工验收前，建设单位应进行拟建项目的职业病危害控制效果评价。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516" w:type="dxa"/>
            <w:gridSpan w:val="5"/>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szCs w:val="28"/>
              </w:rPr>
            </w:pPr>
            <w:r>
              <w:rPr>
                <w:rFonts w:hint="default" w:ascii="Times New Roman" w:hAnsi="Times New Roman" w:cs="Times New Roman"/>
                <w:szCs w:val="28"/>
              </w:rPr>
              <w:t>技术审查专家组评审意见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8" w:hRule="atLeast"/>
          <w:jc w:val="center"/>
        </w:trPr>
        <w:tc>
          <w:tcPr>
            <w:tcW w:w="8516" w:type="dxa"/>
            <w:gridSpan w:val="5"/>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keepNext w:val="0"/>
              <w:keepLines w:val="0"/>
              <w:suppressLineNumbers w:val="0"/>
              <w:adjustRightInd w:val="0"/>
              <w:snapToGrid w:val="0"/>
              <w:spacing w:before="0" w:beforeAutospacing="0" w:after="0" w:afterAutospacing="0"/>
              <w:ind w:left="0" w:right="0" w:firstLine="420" w:firstLineChars="200"/>
              <w:jc w:val="left"/>
              <w:rPr>
                <w:rFonts w:hint="default" w:ascii="Times New Roman" w:hAnsi="Times New Roman" w:cs="Times New Roman"/>
                <w:szCs w:val="28"/>
              </w:rPr>
            </w:pPr>
          </w:p>
          <w:p>
            <w:pPr>
              <w:keepNext w:val="0"/>
              <w:keepLines w:val="0"/>
              <w:suppressLineNumbers w:val="0"/>
              <w:adjustRightInd w:val="0"/>
              <w:snapToGrid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一、《预评价报告》目的明确、依据充分、程序规范、内容基本齐全，符合《职业病防治法》及相关法律、法规和技术标准的要求；</w:t>
            </w:r>
          </w:p>
          <w:p>
            <w:pPr>
              <w:keepNext w:val="0"/>
              <w:keepLines w:val="0"/>
              <w:suppressLineNumbers w:val="0"/>
              <w:adjustRightInd w:val="0"/>
              <w:snapToGrid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二、《预评价报告》对该建设项目的职业病危害因素及对劳动者健康危害程度的分析和评价较全面、客观、准确；</w:t>
            </w:r>
          </w:p>
          <w:p>
            <w:pPr>
              <w:keepNext w:val="0"/>
              <w:keepLines w:val="0"/>
              <w:suppressLineNumbers w:val="0"/>
              <w:adjustRightInd w:val="0"/>
              <w:snapToGrid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三、《预评价报告》对该建设项目拟设置的职业病防护设施和个体防护用品分析与评价基本正确；</w:t>
            </w:r>
          </w:p>
          <w:p>
            <w:pPr>
              <w:keepNext w:val="0"/>
              <w:keepLines w:val="0"/>
              <w:suppressLineNumbers w:val="0"/>
              <w:adjustRightInd w:val="0"/>
              <w:snapToGrid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四、《预评价报告》对该建设单位拟设置的职业卫生管理机构和职业卫生管理人员配置及有关制度进行了表述，提出的建议符合要求；</w:t>
            </w:r>
          </w:p>
          <w:p>
            <w:pPr>
              <w:keepNext w:val="0"/>
              <w:keepLines w:val="0"/>
              <w:suppressLineNumbers w:val="0"/>
              <w:adjustRightInd w:val="0"/>
              <w:snapToGrid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五、《预评价报告》对该建设项目提出的职业病防护措施和建议基本合理、可行，符合相关标准、规范的要求。</w:t>
            </w:r>
          </w:p>
          <w:p>
            <w:pPr>
              <w:keepNext w:val="0"/>
              <w:keepLines w:val="0"/>
              <w:suppressLineNumbers w:val="0"/>
              <w:adjustRightInd w:val="0"/>
              <w:snapToGrid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六、《预评价报告》对该建设项目的职业病危害类型判定准确，评价结论正确。</w:t>
            </w:r>
          </w:p>
          <w:p>
            <w:pPr>
              <w:keepNext w:val="0"/>
              <w:keepLines w:val="0"/>
              <w:suppressLineNumbers w:val="0"/>
              <w:adjustRightInd w:val="0"/>
              <w:snapToGrid w:val="0"/>
              <w:spacing w:before="0" w:beforeAutospacing="0" w:after="0" w:afterAutospacing="0"/>
              <w:ind w:left="0" w:right="0" w:firstLine="420" w:firstLineChars="200"/>
              <w:jc w:val="left"/>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七、评审结论</w:t>
            </w:r>
          </w:p>
          <w:p>
            <w:pPr>
              <w:keepNext w:val="0"/>
              <w:keepLines w:val="0"/>
              <w:suppressLineNumbers w:val="0"/>
              <w:adjustRightInd w:val="0"/>
              <w:snapToGrid w:val="0"/>
              <w:spacing w:before="0" w:beforeAutospacing="0" w:after="0" w:afterAutospacing="0"/>
              <w:ind w:left="0" w:right="0" w:firstLine="420" w:firstLineChars="200"/>
              <w:jc w:val="left"/>
              <w:rPr>
                <w:rFonts w:hint="default" w:ascii="Times New Roman" w:hAnsi="Times New Roman" w:cs="Times New Roman"/>
              </w:rPr>
            </w:pPr>
            <w:r>
              <w:rPr>
                <w:rFonts w:hint="eastAsia" w:ascii="Times New Roman" w:hAnsi="Times New Roman" w:cs="Times New Roman"/>
                <w:szCs w:val="28"/>
                <w:lang w:val="en-US" w:eastAsia="zh-CN"/>
              </w:rPr>
              <w:t>专家组同意通过该《预评价报告》。</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zZDdlNGM5ZDNjMjlhYzNkNTM3NTZjNDAyM2Q3YzgifQ=="/>
  </w:docVars>
  <w:rsids>
    <w:rsidRoot w:val="00F86064"/>
    <w:rsid w:val="00002BC1"/>
    <w:rsid w:val="00031C4A"/>
    <w:rsid w:val="00047595"/>
    <w:rsid w:val="00047D73"/>
    <w:rsid w:val="0005417D"/>
    <w:rsid w:val="000A1057"/>
    <w:rsid w:val="000D3C35"/>
    <w:rsid w:val="000D427F"/>
    <w:rsid w:val="000E5DFB"/>
    <w:rsid w:val="00106046"/>
    <w:rsid w:val="0011440B"/>
    <w:rsid w:val="00120D44"/>
    <w:rsid w:val="0015152C"/>
    <w:rsid w:val="001F46C9"/>
    <w:rsid w:val="00206FFC"/>
    <w:rsid w:val="00241A79"/>
    <w:rsid w:val="00257880"/>
    <w:rsid w:val="002B79F4"/>
    <w:rsid w:val="002D06BB"/>
    <w:rsid w:val="002F4583"/>
    <w:rsid w:val="0031004F"/>
    <w:rsid w:val="00316860"/>
    <w:rsid w:val="003374F4"/>
    <w:rsid w:val="00367CB0"/>
    <w:rsid w:val="003C1514"/>
    <w:rsid w:val="003F6478"/>
    <w:rsid w:val="00420AC5"/>
    <w:rsid w:val="00436FEC"/>
    <w:rsid w:val="00467281"/>
    <w:rsid w:val="00475F0F"/>
    <w:rsid w:val="00485836"/>
    <w:rsid w:val="004F2C4F"/>
    <w:rsid w:val="0050551E"/>
    <w:rsid w:val="00522814"/>
    <w:rsid w:val="00522C8E"/>
    <w:rsid w:val="005429DB"/>
    <w:rsid w:val="00562E1F"/>
    <w:rsid w:val="0057738A"/>
    <w:rsid w:val="005A6E60"/>
    <w:rsid w:val="005F16E6"/>
    <w:rsid w:val="00611F39"/>
    <w:rsid w:val="00613104"/>
    <w:rsid w:val="00635AFF"/>
    <w:rsid w:val="006463E8"/>
    <w:rsid w:val="00650C4D"/>
    <w:rsid w:val="00663D60"/>
    <w:rsid w:val="006A03EE"/>
    <w:rsid w:val="006B3B2C"/>
    <w:rsid w:val="006B661A"/>
    <w:rsid w:val="006B6D31"/>
    <w:rsid w:val="006F1E22"/>
    <w:rsid w:val="00701914"/>
    <w:rsid w:val="00711AB0"/>
    <w:rsid w:val="0073054C"/>
    <w:rsid w:val="00735CAF"/>
    <w:rsid w:val="00747DF7"/>
    <w:rsid w:val="007561E8"/>
    <w:rsid w:val="00756484"/>
    <w:rsid w:val="0076687D"/>
    <w:rsid w:val="007C7BED"/>
    <w:rsid w:val="007E735E"/>
    <w:rsid w:val="007F27EE"/>
    <w:rsid w:val="007F5549"/>
    <w:rsid w:val="00817317"/>
    <w:rsid w:val="00883DA3"/>
    <w:rsid w:val="008C097E"/>
    <w:rsid w:val="008C1364"/>
    <w:rsid w:val="008C427F"/>
    <w:rsid w:val="00902E17"/>
    <w:rsid w:val="0096350F"/>
    <w:rsid w:val="00964EE0"/>
    <w:rsid w:val="009E2FE4"/>
    <w:rsid w:val="009E5FB0"/>
    <w:rsid w:val="00A00CDD"/>
    <w:rsid w:val="00A160E8"/>
    <w:rsid w:val="00A2324E"/>
    <w:rsid w:val="00A458E3"/>
    <w:rsid w:val="00A720CA"/>
    <w:rsid w:val="00A76523"/>
    <w:rsid w:val="00AB21E4"/>
    <w:rsid w:val="00AF2F58"/>
    <w:rsid w:val="00AF4A8B"/>
    <w:rsid w:val="00AF54B1"/>
    <w:rsid w:val="00AF65A2"/>
    <w:rsid w:val="00AF6871"/>
    <w:rsid w:val="00B0719F"/>
    <w:rsid w:val="00B17E07"/>
    <w:rsid w:val="00B23E9B"/>
    <w:rsid w:val="00B42FEA"/>
    <w:rsid w:val="00B81922"/>
    <w:rsid w:val="00BC69BB"/>
    <w:rsid w:val="00BD2833"/>
    <w:rsid w:val="00BE7FD0"/>
    <w:rsid w:val="00C92CA5"/>
    <w:rsid w:val="00C94DF7"/>
    <w:rsid w:val="00CA4CD1"/>
    <w:rsid w:val="00CB0655"/>
    <w:rsid w:val="00CF2AB9"/>
    <w:rsid w:val="00CF4DCB"/>
    <w:rsid w:val="00D46BD7"/>
    <w:rsid w:val="00E16DD4"/>
    <w:rsid w:val="00E63895"/>
    <w:rsid w:val="00EE17F1"/>
    <w:rsid w:val="00EE6E5D"/>
    <w:rsid w:val="00EF5B22"/>
    <w:rsid w:val="00F11002"/>
    <w:rsid w:val="00F118EB"/>
    <w:rsid w:val="00F504B7"/>
    <w:rsid w:val="00F82C62"/>
    <w:rsid w:val="00F86064"/>
    <w:rsid w:val="079F4BA3"/>
    <w:rsid w:val="23AE0B7C"/>
    <w:rsid w:val="366F0AEF"/>
    <w:rsid w:val="3C7303B6"/>
    <w:rsid w:val="408F7977"/>
    <w:rsid w:val="4F7A5350"/>
    <w:rsid w:val="50F149A8"/>
    <w:rsid w:val="66FA7A3A"/>
    <w:rsid w:val="69B87C08"/>
    <w:rsid w:val="6EF25B94"/>
    <w:rsid w:val="71E12B9C"/>
    <w:rsid w:val="74FB0A5C"/>
    <w:rsid w:val="7BDA1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caption"/>
    <w:basedOn w:val="1"/>
    <w:qFormat/>
    <w:uiPriority w:val="35"/>
    <w:pPr>
      <w:widowControl/>
      <w:spacing w:before="100" w:beforeAutospacing="1" w:after="100" w:afterAutospacing="1"/>
      <w:jc w:val="left"/>
    </w:pPr>
    <w:rPr>
      <w:rFonts w:ascii="宋体" w:hAnsi="宋体" w:eastAsia="宋体" w:cs="宋体"/>
      <w:kern w:val="0"/>
      <w:sz w:val="24"/>
      <w:szCs w:val="24"/>
    </w:rPr>
  </w:style>
  <w:style w:type="paragraph" w:styleId="3">
    <w:name w:val="annotation text"/>
    <w:basedOn w:val="1"/>
    <w:link w:val="15"/>
    <w:qFormat/>
    <w:uiPriority w:val="0"/>
    <w:pPr>
      <w:widowControl/>
      <w:jc w:val="left"/>
    </w:pPr>
    <w:rPr>
      <w:rFonts w:ascii="Times New Roman" w:hAnsi="Times New Roman" w:eastAsia="宋体" w:cs="Times New Roman"/>
      <w:szCs w:val="20"/>
    </w:rPr>
  </w:style>
  <w:style w:type="paragraph" w:styleId="4">
    <w:name w:val="Body Text"/>
    <w:basedOn w:val="1"/>
    <w:qFormat/>
    <w:uiPriority w:val="0"/>
    <w:rPr>
      <w:rFonts w:eastAsia="仿宋_GB2312"/>
      <w:sz w:val="24"/>
      <w:szCs w:val="20"/>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17"/>
    <w:qFormat/>
    <w:uiPriority w:val="0"/>
    <w:pPr>
      <w:widowControl/>
      <w:snapToGrid w:val="0"/>
      <w:jc w:val="left"/>
    </w:pPr>
    <w:rPr>
      <w:rFonts w:ascii="Times New Roman" w:hAnsi="Times New Roman" w:eastAsia="宋体" w:cs="Times New Roman"/>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styleId="13">
    <w:name w:val="List Paragraph"/>
    <w:basedOn w:val="1"/>
    <w:link w:val="19"/>
    <w:qFormat/>
    <w:uiPriority w:val="34"/>
    <w:pPr>
      <w:widowControl/>
      <w:ind w:firstLine="420" w:firstLineChars="200"/>
      <w:jc w:val="left"/>
    </w:pPr>
  </w:style>
  <w:style w:type="paragraph" w:customStyle="1" w:styleId="14">
    <w:name w:val="列出段落3"/>
    <w:basedOn w:val="1"/>
    <w:semiHidden/>
    <w:unhideWhenUsed/>
    <w:qFormat/>
    <w:uiPriority w:val="99"/>
    <w:pPr>
      <w:ind w:firstLine="420" w:firstLineChars="200"/>
    </w:pPr>
    <w:rPr>
      <w:rFonts w:ascii="Times New Roman" w:hAnsi="Times New Roman" w:eastAsia="宋体" w:cs="Times New Roman"/>
      <w:szCs w:val="24"/>
    </w:rPr>
  </w:style>
  <w:style w:type="character" w:customStyle="1" w:styleId="15">
    <w:name w:val="批注文字 Char"/>
    <w:link w:val="3"/>
    <w:qFormat/>
    <w:uiPriority w:val="0"/>
    <w:rPr>
      <w:rFonts w:ascii="Times New Roman" w:hAnsi="Times New Roman" w:eastAsia="宋体" w:cs="Times New Roman"/>
      <w:szCs w:val="20"/>
    </w:rPr>
  </w:style>
  <w:style w:type="character" w:customStyle="1" w:styleId="16">
    <w:name w:val="批注文字 Char1"/>
    <w:basedOn w:val="10"/>
    <w:semiHidden/>
    <w:qFormat/>
    <w:uiPriority w:val="99"/>
  </w:style>
  <w:style w:type="character" w:customStyle="1" w:styleId="17">
    <w:name w:val="脚注文本 Char"/>
    <w:link w:val="7"/>
    <w:qFormat/>
    <w:uiPriority w:val="0"/>
    <w:rPr>
      <w:rFonts w:ascii="Times New Roman" w:hAnsi="Times New Roman" w:eastAsia="宋体" w:cs="Times New Roman"/>
      <w:sz w:val="18"/>
      <w:szCs w:val="18"/>
    </w:rPr>
  </w:style>
  <w:style w:type="character" w:customStyle="1" w:styleId="18">
    <w:name w:val="脚注文本 Char1"/>
    <w:basedOn w:val="10"/>
    <w:semiHidden/>
    <w:qFormat/>
    <w:uiPriority w:val="99"/>
    <w:rPr>
      <w:sz w:val="18"/>
      <w:szCs w:val="18"/>
    </w:rPr>
  </w:style>
  <w:style w:type="character" w:customStyle="1" w:styleId="19">
    <w:name w:val="列出段落 Char"/>
    <w:basedOn w:val="10"/>
    <w:link w:val="13"/>
    <w:qFormat/>
    <w:uiPriority w:val="34"/>
  </w:style>
  <w:style w:type="paragraph" w:customStyle="1" w:styleId="20">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character" w:customStyle="1" w:styleId="21">
    <w:name w:val="标题 2 Char"/>
    <w:basedOn w:val="10"/>
    <w:qFormat/>
    <w:uiPriority w:val="0"/>
    <w:rPr>
      <w:rFonts w:hint="default" w:ascii="Calibri Light" w:hAnsi="Calibri Light" w:eastAsia="宋体" w:cs="Times New Roman"/>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2DA54-AD23-4E1D-97E4-1C0AE7C11B9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270</Words>
  <Characters>1539</Characters>
  <Lines>12</Lines>
  <Paragraphs>3</Paragraphs>
  <TotalTime>0</TotalTime>
  <ScaleCrop>false</ScaleCrop>
  <LinksUpToDate>false</LinksUpToDate>
  <CharactersWithSpaces>1806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2023-06-21T06:47:00Z</dcterms:created>
  <dc:creator>11</dc:creator>
  <cp:lastModifiedBy>licuiyun</cp:lastModifiedBy>
  <dcterms:modified xsi:type="dcterms:W3CDTF">2023-10-11T07:01:26Z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9E91934CED8944DD9DF44B55E702EA8A_12</vt:lpwstr>
  </property>
</Properties>
</file>