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940"/>
        <w:gridCol w:w="2218"/>
        <w:gridCol w:w="1132"/>
        <w:gridCol w:w="53"/>
        <w:gridCol w:w="2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jc w:val="left"/>
              <w:rPr>
                <w:rFonts w:ascii="Times New Roman" w:hAnsi="Times New Roman" w:cs="Times New Roman"/>
                <w:szCs w:val="28"/>
              </w:rPr>
            </w:pPr>
            <w:r>
              <w:rPr>
                <w:rFonts w:ascii="Times New Roman" w:hAnsi="Times New Roman" w:cs="Times New Roman"/>
                <w:szCs w:val="28"/>
              </w:rPr>
              <w:t>建设单位（用人单位）名称</w:t>
            </w:r>
          </w:p>
        </w:tc>
        <w:tc>
          <w:tcPr>
            <w:tcW w:w="5576"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ind w:firstLine="420" w:firstLineChars="200"/>
              <w:jc w:val="center"/>
              <w:rPr>
                <w:rFonts w:ascii="Times New Roman" w:hAnsi="Times New Roman" w:cs="Times New Roman"/>
                <w:szCs w:val="28"/>
              </w:rPr>
            </w:pPr>
            <w:r>
              <w:rPr>
                <w:rFonts w:hint="eastAsia" w:ascii="Times New Roman" w:hAnsi="Times New Roman" w:cs="Times New Roman"/>
                <w:szCs w:val="28"/>
                <w:lang w:val="en-US" w:eastAsia="zh-CN"/>
              </w:rPr>
              <w:t>万华化学（宁波）氯碱有限公司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jc w:val="left"/>
              <w:rPr>
                <w:rFonts w:ascii="Times New Roman" w:hAnsi="Times New Roman" w:cs="Times New Roman"/>
                <w:szCs w:val="28"/>
              </w:rPr>
            </w:pPr>
            <w:r>
              <w:rPr>
                <w:rFonts w:ascii="Times New Roman" w:hAnsi="Times New Roman" w:cs="Times New Roman"/>
                <w:szCs w:val="28"/>
              </w:rPr>
              <w:t>地理位置</w:t>
            </w:r>
          </w:p>
        </w:tc>
        <w:tc>
          <w:tcPr>
            <w:tcW w:w="22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Times New Roman" w:hAnsi="Times New Roman" w:cs="Times New Roman"/>
                <w:szCs w:val="28"/>
              </w:rPr>
            </w:pPr>
            <w:r>
              <w:rPr>
                <w:rFonts w:hint="eastAsia" w:ascii="Times New Roman" w:hAnsi="Times New Roman" w:cs="Times New Roman"/>
                <w:szCs w:val="28"/>
                <w:lang w:val="en-US" w:eastAsia="zh-CN"/>
              </w:rPr>
              <w:t>大榭开发区东港北路</w:t>
            </w:r>
            <w:r>
              <w:rPr>
                <w:rFonts w:hint="default" w:ascii="Times New Roman" w:hAnsi="Times New Roman" w:cs="Times New Roman"/>
                <w:szCs w:val="28"/>
                <w:lang w:val="en-US" w:eastAsia="zh-CN"/>
              </w:rPr>
              <w:t>1</w:t>
            </w:r>
            <w:r>
              <w:rPr>
                <w:rFonts w:hint="eastAsia" w:ascii="Times New Roman" w:hAnsi="Times New Roman" w:cs="Times New Roman"/>
                <w:szCs w:val="28"/>
                <w:lang w:val="en-US" w:eastAsia="zh-CN"/>
              </w:rPr>
              <w:t>号</w:t>
            </w:r>
          </w:p>
        </w:tc>
        <w:tc>
          <w:tcPr>
            <w:tcW w:w="1185" w:type="dxa"/>
            <w:gridSpan w:val="2"/>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jc w:val="center"/>
              <w:rPr>
                <w:rFonts w:ascii="Times New Roman" w:hAnsi="Times New Roman" w:cs="Times New Roman"/>
                <w:szCs w:val="28"/>
              </w:rPr>
            </w:pPr>
            <w:r>
              <w:rPr>
                <w:rFonts w:ascii="Times New Roman" w:hAnsi="Times New Roman" w:cs="Times New Roman"/>
                <w:szCs w:val="28"/>
              </w:rPr>
              <w:t>联系人</w:t>
            </w:r>
          </w:p>
        </w:tc>
        <w:tc>
          <w:tcPr>
            <w:tcW w:w="217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hint="default" w:ascii="Times New Roman" w:hAnsi="Times New Roman" w:cs="Times New Roman" w:eastAsiaTheme="minorEastAsia"/>
                <w:szCs w:val="28"/>
                <w:lang w:val="en-US" w:eastAsia="zh-CN"/>
              </w:rPr>
            </w:pPr>
            <w:r>
              <w:rPr>
                <w:rFonts w:hint="eastAsia" w:ascii="Times New Roman" w:hAnsi="Times New Roman" w:cs="Times New Roman"/>
                <w:szCs w:val="28"/>
                <w:lang w:val="en-US" w:eastAsia="zh-CN"/>
              </w:rPr>
              <w:t>陈楠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spacing w:line="240" w:lineRule="auto"/>
              <w:jc w:val="left"/>
              <w:rPr>
                <w:rFonts w:ascii="Times New Roman" w:hAnsi="Times New Roman" w:cs="Times New Roman"/>
                <w:szCs w:val="28"/>
              </w:rPr>
            </w:pPr>
            <w:r>
              <w:rPr>
                <w:rFonts w:ascii="Times New Roman" w:hAnsi="Times New Roman" w:cs="Times New Roman"/>
                <w:szCs w:val="28"/>
              </w:rPr>
              <w:t>项目名称</w:t>
            </w:r>
          </w:p>
        </w:tc>
        <w:tc>
          <w:tcPr>
            <w:tcW w:w="5576"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widowControl w:val="0"/>
              <w:suppressLineNumbers w:val="0"/>
              <w:adjustRightInd w:val="0"/>
              <w:snapToGrid w:val="0"/>
              <w:spacing w:before="0" w:beforeAutospacing="0" w:after="0" w:afterAutospacing="0" w:line="240" w:lineRule="auto"/>
              <w:ind w:right="0"/>
              <w:jc w:val="center"/>
              <w:rPr>
                <w:rFonts w:ascii="Times New Roman" w:hAnsi="Times New Roman" w:cs="Times New Roman"/>
                <w:szCs w:val="28"/>
              </w:rPr>
            </w:pPr>
            <w:r>
              <w:rPr>
                <w:rFonts w:hint="eastAsia" w:ascii="Times New Roman" w:hAnsi="Times New Roman" w:cs="Times New Roman"/>
                <w:szCs w:val="28"/>
                <w:lang w:val="en-US" w:eastAsia="zh-CN"/>
              </w:rPr>
              <w:t>烧碱蒸发装置及成品罐区提升改造项目（成品罐区优化改造项目）</w:t>
            </w:r>
            <w:r>
              <w:rPr>
                <w:rFonts w:ascii="Times New Roman" w:hAnsi="Times New Roman" w:cs="Times New Roman"/>
                <w:szCs w:val="28"/>
              </w:rPr>
              <w:t>职业病危害</w:t>
            </w:r>
            <w:r>
              <w:rPr>
                <w:rFonts w:hint="eastAsia" w:ascii="Times New Roman" w:hAnsi="Times New Roman" w:cs="Times New Roman"/>
                <w:szCs w:val="28"/>
              </w:rPr>
              <w:t>预</w:t>
            </w:r>
            <w:r>
              <w:rPr>
                <w:rFonts w:ascii="Times New Roman" w:hAnsi="Times New Roman" w:cs="Times New Roman"/>
                <w:szCs w:val="28"/>
              </w:rPr>
              <w:t>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8516" w:type="dxa"/>
            <w:gridSpan w:val="5"/>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jc w:val="left"/>
              <w:rPr>
                <w:rFonts w:ascii="Times New Roman" w:hAnsi="Times New Roman" w:cs="Times New Roman"/>
              </w:rPr>
            </w:pPr>
            <w:r>
              <w:rPr>
                <w:rFonts w:ascii="Times New Roman" w:hAnsi="Times New Roman" w:cs="Times New Roman"/>
              </w:rPr>
              <w:t>项目简介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widowControl w:val="0"/>
              <w:suppressLineNumbers w:val="0"/>
              <w:adjustRightInd w:val="0"/>
              <w:snapToGrid w:val="0"/>
              <w:spacing w:before="0" w:beforeAutospacing="0" w:after="0" w:afterAutospacing="0" w:line="240" w:lineRule="auto"/>
              <w:ind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万华化学（宁波）氯碱有限公司（以下简称</w:t>
            </w:r>
            <w:r>
              <w:rPr>
                <w:rFonts w:hint="default" w:ascii="Times New Roman" w:hAnsi="Times New Roman" w:cs="Times New Roman"/>
                <w:szCs w:val="28"/>
                <w:lang w:val="en-US" w:eastAsia="zh-CN"/>
              </w:rPr>
              <w:t>“</w:t>
            </w:r>
            <w:r>
              <w:rPr>
                <w:rFonts w:hint="eastAsia" w:ascii="Times New Roman" w:hAnsi="Times New Roman" w:cs="Times New Roman"/>
                <w:szCs w:val="28"/>
                <w:lang w:val="en-US" w:eastAsia="zh-CN"/>
              </w:rPr>
              <w:t>万华（宁波）氯碱</w:t>
            </w:r>
            <w:r>
              <w:rPr>
                <w:rFonts w:hint="default" w:ascii="Times New Roman" w:hAnsi="Times New Roman" w:cs="Times New Roman"/>
                <w:szCs w:val="28"/>
                <w:lang w:val="en-US" w:eastAsia="zh-CN"/>
              </w:rPr>
              <w:t>”</w:t>
            </w:r>
            <w:r>
              <w:rPr>
                <w:rFonts w:hint="eastAsia" w:ascii="Times New Roman" w:hAnsi="Times New Roman" w:cs="Times New Roman"/>
                <w:szCs w:val="28"/>
                <w:lang w:val="en-US" w:eastAsia="zh-CN"/>
              </w:rPr>
              <w:t>）是一家专业生产氯碱产品的股份制企业。其前身是</w:t>
            </w:r>
            <w:r>
              <w:rPr>
                <w:rFonts w:hint="default" w:ascii="Times New Roman" w:hAnsi="Times New Roman" w:cs="Times New Roman"/>
                <w:szCs w:val="28"/>
                <w:lang w:val="en-US" w:eastAsia="zh-CN"/>
              </w:rPr>
              <w:t>1958</w:t>
            </w:r>
            <w:r>
              <w:rPr>
                <w:rFonts w:hint="eastAsia" w:ascii="Times New Roman" w:hAnsi="Times New Roman" w:cs="Times New Roman"/>
                <w:szCs w:val="28"/>
                <w:lang w:val="en-US" w:eastAsia="zh-CN"/>
              </w:rPr>
              <w:t>年建厂的宁波电化厂。经过几十年的发展，企业名称先后更名为明日化学集团有限公司、宁波东港电化有限责任公司等。</w:t>
            </w:r>
            <w:r>
              <w:rPr>
                <w:rFonts w:hint="default" w:ascii="Times New Roman" w:hAnsi="Times New Roman" w:cs="Times New Roman"/>
                <w:szCs w:val="28"/>
                <w:lang w:val="en-US" w:eastAsia="zh-CN"/>
              </w:rPr>
              <w:t>2013</w:t>
            </w:r>
            <w:r>
              <w:rPr>
                <w:rFonts w:hint="eastAsia" w:ascii="Times New Roman" w:hAnsi="Times New Roman" w:cs="Times New Roman"/>
                <w:szCs w:val="28"/>
                <w:lang w:val="en-US" w:eastAsia="zh-CN"/>
              </w:rPr>
              <w:t>年</w:t>
            </w:r>
            <w:r>
              <w:rPr>
                <w:rFonts w:hint="default" w:ascii="Times New Roman" w:hAnsi="Times New Roman" w:cs="Times New Roman"/>
                <w:szCs w:val="28"/>
                <w:lang w:val="en-US" w:eastAsia="zh-CN"/>
              </w:rPr>
              <w:t>9</w:t>
            </w:r>
            <w:r>
              <w:rPr>
                <w:rFonts w:hint="eastAsia" w:ascii="Times New Roman" w:hAnsi="Times New Roman" w:cs="Times New Roman"/>
                <w:szCs w:val="28"/>
                <w:lang w:val="en-US" w:eastAsia="zh-CN"/>
              </w:rPr>
              <w:t>月</w:t>
            </w:r>
            <w:r>
              <w:rPr>
                <w:rFonts w:hint="default" w:ascii="Times New Roman" w:hAnsi="Times New Roman" w:cs="Times New Roman"/>
                <w:szCs w:val="28"/>
                <w:lang w:val="en-US" w:eastAsia="zh-CN"/>
              </w:rPr>
              <w:t>1</w:t>
            </w:r>
            <w:r>
              <w:rPr>
                <w:rFonts w:hint="eastAsia" w:ascii="Times New Roman" w:hAnsi="Times New Roman" w:cs="Times New Roman"/>
                <w:szCs w:val="28"/>
                <w:lang w:val="en-US" w:eastAsia="zh-CN"/>
              </w:rPr>
              <w:t>日更名为万华化学（宁波）氯碱有限公司，由万华化学集团股份有限公司、宁波工业投资集团有限公司、中信兴业投资宁波公司等股东组成。</w:t>
            </w:r>
          </w:p>
          <w:p>
            <w:pPr>
              <w:keepNext w:val="0"/>
              <w:keepLines w:val="0"/>
              <w:widowControl w:val="0"/>
              <w:suppressLineNumbers w:val="0"/>
              <w:adjustRightInd w:val="0"/>
              <w:snapToGrid w:val="0"/>
              <w:spacing w:before="0" w:beforeAutospacing="0" w:after="0" w:afterAutospacing="0" w:line="240" w:lineRule="auto"/>
              <w:ind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万华（宁波）氯碱位于大榭开发区万华工业园内东港北路</w:t>
            </w:r>
            <w:r>
              <w:rPr>
                <w:rFonts w:hint="default" w:ascii="Times New Roman" w:hAnsi="Times New Roman" w:cs="Times New Roman"/>
                <w:szCs w:val="28"/>
                <w:lang w:val="en-US" w:eastAsia="zh-CN"/>
              </w:rPr>
              <w:t>1</w:t>
            </w:r>
            <w:r>
              <w:rPr>
                <w:rFonts w:hint="eastAsia" w:ascii="Times New Roman" w:hAnsi="Times New Roman" w:cs="Times New Roman"/>
                <w:szCs w:val="28"/>
                <w:lang w:val="en-US" w:eastAsia="zh-CN"/>
              </w:rPr>
              <w:t>号，注册资本：</w:t>
            </w:r>
            <w:r>
              <w:rPr>
                <w:rFonts w:hint="default" w:ascii="Times New Roman" w:hAnsi="Times New Roman" w:cs="Times New Roman"/>
                <w:szCs w:val="28"/>
                <w:lang w:val="en-US" w:eastAsia="zh-CN"/>
              </w:rPr>
              <w:t>17000</w:t>
            </w:r>
            <w:r>
              <w:rPr>
                <w:rFonts w:hint="eastAsia" w:ascii="Times New Roman" w:hAnsi="Times New Roman" w:cs="Times New Roman"/>
                <w:szCs w:val="28"/>
                <w:lang w:val="en-US" w:eastAsia="zh-CN"/>
              </w:rPr>
              <w:t>万元人民币。现有员工约</w:t>
            </w:r>
            <w:r>
              <w:rPr>
                <w:rFonts w:hint="default" w:ascii="Times New Roman" w:hAnsi="Times New Roman" w:cs="Times New Roman"/>
                <w:szCs w:val="28"/>
                <w:lang w:val="en-US" w:eastAsia="zh-CN"/>
              </w:rPr>
              <w:t>300</w:t>
            </w:r>
            <w:r>
              <w:rPr>
                <w:rFonts w:hint="eastAsia" w:ascii="Times New Roman" w:hAnsi="Times New Roman" w:cs="Times New Roman"/>
                <w:szCs w:val="28"/>
                <w:lang w:val="en-US" w:eastAsia="zh-CN"/>
              </w:rPr>
              <w:t>人。主要产品有烧碱、液氯、次氯酸钠、硫酸等，目前产能氢氧化钠</w:t>
            </w:r>
            <w:r>
              <w:rPr>
                <w:rFonts w:hint="default" w:ascii="Times New Roman" w:hAnsi="Times New Roman" w:cs="Times New Roman"/>
                <w:szCs w:val="28"/>
                <w:lang w:val="en-US" w:eastAsia="zh-CN"/>
              </w:rPr>
              <w:t>55</w:t>
            </w:r>
            <w:r>
              <w:rPr>
                <w:rFonts w:hint="eastAsia" w:ascii="Times New Roman" w:hAnsi="Times New Roman" w:cs="Times New Roman"/>
                <w:szCs w:val="28"/>
                <w:lang w:val="en-US" w:eastAsia="zh-CN"/>
              </w:rPr>
              <w:t>万吨</w:t>
            </w:r>
            <w:r>
              <w:rPr>
                <w:rFonts w:hint="default" w:ascii="Times New Roman" w:hAnsi="Times New Roman" w:cs="Times New Roman"/>
                <w:szCs w:val="28"/>
                <w:lang w:val="en-US" w:eastAsia="zh-CN"/>
              </w:rPr>
              <w:t>/</w:t>
            </w:r>
            <w:r>
              <w:rPr>
                <w:rFonts w:hint="eastAsia" w:ascii="Times New Roman" w:hAnsi="Times New Roman" w:cs="Times New Roman"/>
                <w:szCs w:val="28"/>
                <w:lang w:val="en-US" w:eastAsia="zh-CN"/>
              </w:rPr>
              <w:t>年，盐酸（≥</w:t>
            </w:r>
            <w:r>
              <w:rPr>
                <w:rFonts w:hint="default" w:ascii="Times New Roman" w:hAnsi="Times New Roman" w:cs="Times New Roman"/>
                <w:szCs w:val="28"/>
                <w:lang w:val="en-US" w:eastAsia="zh-CN"/>
              </w:rPr>
              <w:t>31%</w:t>
            </w:r>
            <w:r>
              <w:rPr>
                <w:rFonts w:hint="eastAsia" w:ascii="Times New Roman" w:hAnsi="Times New Roman" w:cs="Times New Roman"/>
                <w:szCs w:val="28"/>
                <w:lang w:val="en-US" w:eastAsia="zh-CN"/>
              </w:rPr>
              <w:t>）</w:t>
            </w:r>
            <w:r>
              <w:rPr>
                <w:rFonts w:hint="default" w:ascii="Times New Roman" w:hAnsi="Times New Roman" w:cs="Times New Roman"/>
                <w:szCs w:val="28"/>
                <w:lang w:val="en-US" w:eastAsia="zh-CN"/>
              </w:rPr>
              <w:t>10.8</w:t>
            </w:r>
            <w:r>
              <w:rPr>
                <w:rFonts w:hint="eastAsia" w:ascii="Times New Roman" w:hAnsi="Times New Roman" w:cs="Times New Roman"/>
                <w:szCs w:val="28"/>
                <w:lang w:val="en-US" w:eastAsia="zh-CN"/>
              </w:rPr>
              <w:t>万吨</w:t>
            </w:r>
            <w:r>
              <w:rPr>
                <w:rFonts w:hint="default" w:ascii="Times New Roman" w:hAnsi="Times New Roman" w:cs="Times New Roman"/>
                <w:szCs w:val="28"/>
                <w:lang w:val="en-US" w:eastAsia="zh-CN"/>
              </w:rPr>
              <w:t>/</w:t>
            </w:r>
            <w:r>
              <w:rPr>
                <w:rFonts w:hint="eastAsia" w:ascii="Times New Roman" w:hAnsi="Times New Roman" w:cs="Times New Roman"/>
                <w:szCs w:val="28"/>
                <w:lang w:val="en-US" w:eastAsia="zh-CN"/>
              </w:rPr>
              <w:t>年，液氯</w:t>
            </w:r>
            <w:r>
              <w:rPr>
                <w:rFonts w:hint="default" w:ascii="Times New Roman" w:hAnsi="Times New Roman" w:cs="Times New Roman"/>
                <w:szCs w:val="28"/>
                <w:lang w:val="en-US" w:eastAsia="zh-CN"/>
              </w:rPr>
              <w:t>46.02</w:t>
            </w:r>
            <w:r>
              <w:rPr>
                <w:rFonts w:hint="eastAsia" w:ascii="Times New Roman" w:hAnsi="Times New Roman" w:cs="Times New Roman"/>
                <w:szCs w:val="28"/>
                <w:lang w:val="en-US" w:eastAsia="zh-CN"/>
              </w:rPr>
              <w:t>万吨</w:t>
            </w:r>
            <w:r>
              <w:rPr>
                <w:rFonts w:hint="default" w:ascii="Times New Roman" w:hAnsi="Times New Roman" w:cs="Times New Roman"/>
                <w:szCs w:val="28"/>
                <w:lang w:val="en-US" w:eastAsia="zh-CN"/>
              </w:rPr>
              <w:t>/</w:t>
            </w:r>
            <w:r>
              <w:rPr>
                <w:rFonts w:hint="eastAsia" w:ascii="Times New Roman" w:hAnsi="Times New Roman" w:cs="Times New Roman"/>
                <w:szCs w:val="28"/>
                <w:lang w:val="en-US" w:eastAsia="zh-CN"/>
              </w:rPr>
              <w:t>年，次氯酸钠</w:t>
            </w:r>
            <w:r>
              <w:rPr>
                <w:rFonts w:hint="default" w:ascii="Times New Roman" w:hAnsi="Times New Roman" w:cs="Times New Roman"/>
                <w:szCs w:val="28"/>
                <w:lang w:val="en-US" w:eastAsia="zh-CN"/>
              </w:rPr>
              <w:t>30</w:t>
            </w:r>
            <w:r>
              <w:rPr>
                <w:rFonts w:hint="eastAsia" w:ascii="Times New Roman" w:hAnsi="Times New Roman" w:cs="Times New Roman"/>
                <w:szCs w:val="28"/>
                <w:lang w:val="en-US" w:eastAsia="zh-CN"/>
              </w:rPr>
              <w:t>万吨</w:t>
            </w:r>
            <w:r>
              <w:rPr>
                <w:rFonts w:hint="default" w:ascii="Times New Roman" w:hAnsi="Times New Roman" w:cs="Times New Roman"/>
                <w:szCs w:val="28"/>
                <w:lang w:val="en-US" w:eastAsia="zh-CN"/>
              </w:rPr>
              <w:t>/</w:t>
            </w:r>
            <w:r>
              <w:rPr>
                <w:rFonts w:hint="eastAsia" w:ascii="Times New Roman" w:hAnsi="Times New Roman" w:cs="Times New Roman"/>
                <w:szCs w:val="28"/>
                <w:lang w:val="en-US" w:eastAsia="zh-CN"/>
              </w:rPr>
              <w:t>年，硫酸</w:t>
            </w:r>
            <w:r>
              <w:rPr>
                <w:rFonts w:hint="default" w:ascii="Times New Roman" w:hAnsi="Times New Roman" w:cs="Times New Roman"/>
                <w:szCs w:val="28"/>
                <w:lang w:val="en-US" w:eastAsia="zh-CN"/>
              </w:rPr>
              <w:t>1.5</w:t>
            </w:r>
            <w:r>
              <w:rPr>
                <w:rFonts w:hint="eastAsia" w:ascii="Times New Roman" w:hAnsi="Times New Roman" w:cs="Times New Roman"/>
                <w:szCs w:val="28"/>
                <w:lang w:val="en-US" w:eastAsia="zh-CN"/>
              </w:rPr>
              <w:t>万吨</w:t>
            </w:r>
            <w:r>
              <w:rPr>
                <w:rFonts w:hint="default" w:ascii="Times New Roman" w:hAnsi="Times New Roman" w:cs="Times New Roman"/>
                <w:szCs w:val="28"/>
                <w:lang w:val="en-US" w:eastAsia="zh-CN"/>
              </w:rPr>
              <w:t>/</w:t>
            </w:r>
            <w:r>
              <w:rPr>
                <w:rFonts w:hint="eastAsia" w:ascii="Times New Roman" w:hAnsi="Times New Roman" w:cs="Times New Roman"/>
                <w:szCs w:val="28"/>
                <w:lang w:val="en-US" w:eastAsia="zh-CN"/>
              </w:rPr>
              <w:t>年，氢气</w:t>
            </w:r>
            <w:r>
              <w:rPr>
                <w:rFonts w:hint="default" w:ascii="Times New Roman" w:hAnsi="Times New Roman" w:cs="Times New Roman"/>
                <w:szCs w:val="28"/>
                <w:lang w:val="en-US" w:eastAsia="zh-CN"/>
              </w:rPr>
              <w:t>1.375</w:t>
            </w:r>
            <w:r>
              <w:rPr>
                <w:rFonts w:hint="eastAsia" w:ascii="Times New Roman" w:hAnsi="Times New Roman" w:cs="Times New Roman"/>
                <w:szCs w:val="28"/>
                <w:lang w:val="en-US" w:eastAsia="zh-CN"/>
              </w:rPr>
              <w:t>万吨</w:t>
            </w:r>
            <w:r>
              <w:rPr>
                <w:rFonts w:hint="default" w:ascii="Times New Roman" w:hAnsi="Times New Roman" w:cs="Times New Roman"/>
                <w:szCs w:val="28"/>
                <w:lang w:val="en-US" w:eastAsia="zh-CN"/>
              </w:rPr>
              <w:t>/</w:t>
            </w:r>
            <w:r>
              <w:rPr>
                <w:rFonts w:hint="eastAsia" w:ascii="Times New Roman" w:hAnsi="Times New Roman" w:cs="Times New Roman"/>
                <w:szCs w:val="28"/>
                <w:lang w:val="en-US" w:eastAsia="zh-CN"/>
              </w:rPr>
              <w:t>年。</w:t>
            </w:r>
          </w:p>
          <w:p>
            <w:pPr>
              <w:keepNext w:val="0"/>
              <w:keepLines w:val="0"/>
              <w:widowControl w:val="0"/>
              <w:suppressLineNumbers w:val="0"/>
              <w:adjustRightInd w:val="0"/>
              <w:snapToGrid w:val="0"/>
              <w:spacing w:before="0" w:beforeAutospacing="0" w:after="0" w:afterAutospacing="0" w:line="240" w:lineRule="auto"/>
              <w:ind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由于产能提升，且</w:t>
            </w:r>
            <w:r>
              <w:rPr>
                <w:rFonts w:hint="default" w:ascii="Times New Roman" w:hAnsi="Times New Roman" w:cs="Times New Roman"/>
                <w:szCs w:val="28"/>
                <w:lang w:val="en-US" w:eastAsia="zh-CN"/>
              </w:rPr>
              <w:t>30%</w:t>
            </w:r>
            <w:r>
              <w:rPr>
                <w:rFonts w:hint="eastAsia" w:ascii="Times New Roman" w:hAnsi="Times New Roman" w:cs="Times New Roman"/>
                <w:szCs w:val="28"/>
                <w:lang w:val="en-US" w:eastAsia="zh-CN"/>
              </w:rPr>
              <w:t>碱、</w:t>
            </w:r>
            <w:r>
              <w:rPr>
                <w:rFonts w:hint="default" w:ascii="Times New Roman" w:hAnsi="Times New Roman" w:cs="Times New Roman"/>
                <w:szCs w:val="28"/>
                <w:lang w:val="en-US" w:eastAsia="zh-CN"/>
              </w:rPr>
              <w:t>32%</w:t>
            </w:r>
            <w:r>
              <w:rPr>
                <w:rFonts w:hint="eastAsia" w:ascii="Times New Roman" w:hAnsi="Times New Roman" w:cs="Times New Roman"/>
                <w:szCs w:val="28"/>
                <w:lang w:val="en-US" w:eastAsia="zh-CN"/>
              </w:rPr>
              <w:t>碱、</w:t>
            </w:r>
            <w:r>
              <w:rPr>
                <w:rFonts w:hint="default" w:ascii="Times New Roman" w:hAnsi="Times New Roman" w:cs="Times New Roman"/>
                <w:szCs w:val="28"/>
                <w:lang w:val="en-US" w:eastAsia="zh-CN"/>
              </w:rPr>
              <w:t>48%</w:t>
            </w:r>
            <w:r>
              <w:rPr>
                <w:rFonts w:hint="eastAsia" w:ascii="Times New Roman" w:hAnsi="Times New Roman" w:cs="Times New Roman"/>
                <w:szCs w:val="28"/>
                <w:lang w:val="en-US" w:eastAsia="zh-CN"/>
              </w:rPr>
              <w:t>碱、次氯酸钠、盐酸等产品的市场需求量明显升高，原有发货平台已难以满足现有产能要求，常常出现槽车装货长时间滞留等待现象，因此，拟实施成品罐区优化改造项目，拆除原有的发货平台，新建两个发货栈台，同时对罐区整体进行优化提升改造。</w:t>
            </w:r>
          </w:p>
          <w:p>
            <w:pPr>
              <w:keepNext w:val="0"/>
              <w:keepLines w:val="0"/>
              <w:widowControl w:val="0"/>
              <w:suppressLineNumbers w:val="0"/>
              <w:adjustRightInd w:val="0"/>
              <w:snapToGrid w:val="0"/>
              <w:spacing w:before="0" w:beforeAutospacing="0" w:after="0" w:afterAutospacing="0" w:line="240" w:lineRule="auto"/>
              <w:ind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北罐区改造部分具体内容为拆除原有</w:t>
            </w:r>
            <w:r>
              <w:rPr>
                <w:rFonts w:hint="default" w:ascii="Times New Roman" w:hAnsi="Times New Roman" w:cs="Times New Roman"/>
                <w:szCs w:val="28"/>
                <w:lang w:val="en-US" w:eastAsia="zh-CN"/>
              </w:rPr>
              <w:t>3000m3</w:t>
            </w:r>
            <w:r>
              <w:rPr>
                <w:rFonts w:hint="eastAsia" w:ascii="Times New Roman" w:hAnsi="Times New Roman" w:cs="Times New Roman"/>
                <w:szCs w:val="28"/>
                <w:lang w:val="en-US" w:eastAsia="zh-CN"/>
              </w:rPr>
              <w:t>的</w:t>
            </w:r>
            <w:r>
              <w:rPr>
                <w:rFonts w:hint="default" w:ascii="Times New Roman" w:hAnsi="Times New Roman" w:cs="Times New Roman"/>
                <w:szCs w:val="28"/>
                <w:lang w:val="en-US" w:eastAsia="zh-CN"/>
              </w:rPr>
              <w:t>32%</w:t>
            </w:r>
            <w:r>
              <w:rPr>
                <w:rFonts w:hint="eastAsia" w:ascii="Times New Roman" w:hAnsi="Times New Roman" w:cs="Times New Roman"/>
                <w:szCs w:val="28"/>
                <w:lang w:val="en-US" w:eastAsia="zh-CN"/>
              </w:rPr>
              <w:t>碱储罐和</w:t>
            </w:r>
            <w:r>
              <w:rPr>
                <w:rFonts w:hint="default" w:ascii="Times New Roman" w:hAnsi="Times New Roman" w:cs="Times New Roman"/>
                <w:szCs w:val="28"/>
                <w:lang w:val="en-US" w:eastAsia="zh-CN"/>
              </w:rPr>
              <w:t>6</w:t>
            </w:r>
            <w:r>
              <w:rPr>
                <w:rFonts w:hint="eastAsia" w:ascii="Times New Roman" w:hAnsi="Times New Roman" w:cs="Times New Roman"/>
                <w:szCs w:val="28"/>
                <w:lang w:val="en-US" w:eastAsia="zh-CN"/>
              </w:rPr>
              <w:t>个</w:t>
            </w:r>
            <w:r>
              <w:rPr>
                <w:rFonts w:hint="default" w:ascii="Times New Roman" w:hAnsi="Times New Roman" w:cs="Times New Roman"/>
                <w:szCs w:val="28"/>
                <w:lang w:val="en-US" w:eastAsia="zh-CN"/>
              </w:rPr>
              <w:t>100 m3</w:t>
            </w:r>
            <w:r>
              <w:rPr>
                <w:rFonts w:hint="eastAsia" w:ascii="Times New Roman" w:hAnsi="Times New Roman" w:cs="Times New Roman"/>
                <w:szCs w:val="28"/>
                <w:lang w:val="en-US" w:eastAsia="zh-CN"/>
              </w:rPr>
              <w:t>的次氯酸钠储罐，在</w:t>
            </w:r>
            <w:r>
              <w:rPr>
                <w:rFonts w:hint="default" w:ascii="Times New Roman" w:hAnsi="Times New Roman" w:cs="Times New Roman"/>
                <w:szCs w:val="28"/>
                <w:lang w:val="en-US" w:eastAsia="zh-CN"/>
              </w:rPr>
              <w:t>V-9A141A</w:t>
            </w:r>
            <w:r>
              <w:rPr>
                <w:rFonts w:hint="eastAsia" w:ascii="Times New Roman" w:hAnsi="Times New Roman" w:cs="Times New Roman"/>
                <w:szCs w:val="28"/>
                <w:lang w:val="en-US" w:eastAsia="zh-CN"/>
              </w:rPr>
              <w:t>东侧新增</w:t>
            </w:r>
            <w:r>
              <w:rPr>
                <w:rFonts w:hint="default" w:ascii="Times New Roman" w:hAnsi="Times New Roman" w:cs="Times New Roman"/>
                <w:szCs w:val="28"/>
                <w:lang w:val="en-US" w:eastAsia="zh-CN"/>
              </w:rPr>
              <w:t>1</w:t>
            </w:r>
            <w:r>
              <w:rPr>
                <w:rFonts w:hint="eastAsia" w:ascii="Times New Roman" w:hAnsi="Times New Roman" w:cs="Times New Roman"/>
                <w:szCs w:val="28"/>
                <w:lang w:val="en-US" w:eastAsia="zh-CN"/>
              </w:rPr>
              <w:t>个</w:t>
            </w:r>
            <w:r>
              <w:rPr>
                <w:rFonts w:hint="default" w:ascii="Times New Roman" w:hAnsi="Times New Roman" w:cs="Times New Roman"/>
                <w:szCs w:val="28"/>
                <w:lang w:val="en-US" w:eastAsia="zh-CN"/>
              </w:rPr>
              <w:t>1000 m3</w:t>
            </w:r>
            <w:r>
              <w:rPr>
                <w:rFonts w:hint="eastAsia" w:ascii="Times New Roman" w:hAnsi="Times New Roman" w:cs="Times New Roman"/>
                <w:szCs w:val="28"/>
                <w:lang w:val="en-US" w:eastAsia="zh-CN"/>
              </w:rPr>
              <w:t>的</w:t>
            </w:r>
            <w:r>
              <w:rPr>
                <w:rFonts w:hint="default" w:ascii="Times New Roman" w:hAnsi="Times New Roman" w:cs="Times New Roman"/>
                <w:szCs w:val="28"/>
                <w:lang w:val="en-US" w:eastAsia="zh-CN"/>
              </w:rPr>
              <w:t>50%</w:t>
            </w:r>
            <w:r>
              <w:rPr>
                <w:rFonts w:hint="eastAsia" w:ascii="Times New Roman" w:hAnsi="Times New Roman" w:cs="Times New Roman"/>
                <w:szCs w:val="28"/>
                <w:lang w:val="en-US" w:eastAsia="zh-CN"/>
              </w:rPr>
              <w:t>碱储罐；南罐区改造部分具体内容为拆除原有部分盐酸储罐，南侧新建</w:t>
            </w:r>
            <w:r>
              <w:rPr>
                <w:rFonts w:hint="default" w:ascii="Times New Roman" w:hAnsi="Times New Roman" w:cs="Times New Roman"/>
                <w:szCs w:val="28"/>
                <w:lang w:val="en-US" w:eastAsia="zh-CN"/>
              </w:rPr>
              <w:t>3</w:t>
            </w:r>
            <w:r>
              <w:rPr>
                <w:rFonts w:hint="eastAsia" w:ascii="Times New Roman" w:hAnsi="Times New Roman" w:cs="Times New Roman"/>
                <w:szCs w:val="28"/>
                <w:lang w:val="en-US" w:eastAsia="zh-CN"/>
              </w:rPr>
              <w:t>个</w:t>
            </w:r>
            <w:r>
              <w:rPr>
                <w:rFonts w:hint="default" w:ascii="Times New Roman" w:hAnsi="Times New Roman" w:cs="Times New Roman"/>
                <w:szCs w:val="28"/>
                <w:lang w:val="en-US" w:eastAsia="zh-CN"/>
              </w:rPr>
              <w:t>36</w:t>
            </w:r>
            <w:r>
              <w:rPr>
                <w:rFonts w:hint="eastAsia" w:ascii="Times New Roman" w:hAnsi="Times New Roman" w:cs="Times New Roman"/>
                <w:szCs w:val="28"/>
                <w:lang w:val="en-US" w:eastAsia="zh-CN"/>
              </w:rPr>
              <w:t>％盐酸储罐，在盐酸储罐北侧布置</w:t>
            </w:r>
            <w:r>
              <w:rPr>
                <w:rFonts w:hint="default" w:ascii="Times New Roman" w:hAnsi="Times New Roman" w:cs="Times New Roman"/>
                <w:szCs w:val="28"/>
                <w:lang w:val="en-US" w:eastAsia="zh-CN"/>
              </w:rPr>
              <w:t>C</w:t>
            </w:r>
            <w:r>
              <w:rPr>
                <w:rFonts w:hint="eastAsia" w:ascii="Times New Roman" w:hAnsi="Times New Roman" w:cs="Times New Roman"/>
                <w:szCs w:val="28"/>
                <w:lang w:val="en-US" w:eastAsia="zh-CN"/>
              </w:rPr>
              <w:t>线</w:t>
            </w:r>
            <w:r>
              <w:rPr>
                <w:rFonts w:hint="default" w:ascii="Times New Roman" w:hAnsi="Times New Roman" w:cs="Times New Roman"/>
                <w:szCs w:val="28"/>
                <w:lang w:val="en-US" w:eastAsia="zh-CN"/>
              </w:rPr>
              <w:t>32%</w:t>
            </w:r>
            <w:r>
              <w:rPr>
                <w:rFonts w:hint="eastAsia" w:ascii="Times New Roman" w:hAnsi="Times New Roman" w:cs="Times New Roman"/>
                <w:szCs w:val="28"/>
                <w:lang w:val="en-US" w:eastAsia="zh-CN"/>
              </w:rPr>
              <w:t>碱储罐和尾气吸收塔；在</w:t>
            </w:r>
            <w:r>
              <w:rPr>
                <w:rFonts w:hint="default" w:ascii="Times New Roman" w:hAnsi="Times New Roman" w:cs="Times New Roman"/>
                <w:szCs w:val="28"/>
                <w:lang w:val="en-US" w:eastAsia="zh-CN"/>
              </w:rPr>
              <w:t>C</w:t>
            </w:r>
            <w:r>
              <w:rPr>
                <w:rFonts w:hint="eastAsia" w:ascii="Times New Roman" w:hAnsi="Times New Roman" w:cs="Times New Roman"/>
                <w:szCs w:val="28"/>
                <w:lang w:val="en-US" w:eastAsia="zh-CN"/>
              </w:rPr>
              <w:t>线</w:t>
            </w:r>
            <w:r>
              <w:rPr>
                <w:rFonts w:hint="default" w:ascii="Times New Roman" w:hAnsi="Times New Roman" w:cs="Times New Roman"/>
                <w:szCs w:val="28"/>
                <w:lang w:val="en-US" w:eastAsia="zh-CN"/>
              </w:rPr>
              <w:t>32%</w:t>
            </w:r>
            <w:r>
              <w:rPr>
                <w:rFonts w:hint="eastAsia" w:ascii="Times New Roman" w:hAnsi="Times New Roman" w:cs="Times New Roman"/>
                <w:szCs w:val="28"/>
                <w:lang w:val="en-US" w:eastAsia="zh-CN"/>
              </w:rPr>
              <w:t>碱储罐北面新建次氯酸钠储罐区，其中</w:t>
            </w:r>
            <w:r>
              <w:rPr>
                <w:rFonts w:hint="default" w:ascii="Times New Roman" w:hAnsi="Times New Roman" w:cs="Times New Roman"/>
                <w:szCs w:val="28"/>
                <w:lang w:val="en-US" w:eastAsia="zh-CN"/>
              </w:rPr>
              <w:t>3</w:t>
            </w:r>
            <w:r>
              <w:rPr>
                <w:rFonts w:hint="eastAsia" w:ascii="Times New Roman" w:hAnsi="Times New Roman" w:cs="Times New Roman"/>
                <w:szCs w:val="28"/>
                <w:lang w:val="en-US" w:eastAsia="zh-CN"/>
              </w:rPr>
              <w:t>个次氯酸钠储罐为北罐区利旧储罐搬迁，另外</w:t>
            </w:r>
            <w:r>
              <w:rPr>
                <w:rFonts w:hint="default" w:ascii="Times New Roman" w:hAnsi="Times New Roman" w:cs="Times New Roman"/>
                <w:szCs w:val="28"/>
                <w:lang w:val="en-US" w:eastAsia="zh-CN"/>
              </w:rPr>
              <w:t>5</w:t>
            </w:r>
            <w:r>
              <w:rPr>
                <w:rFonts w:hint="eastAsia" w:ascii="Times New Roman" w:hAnsi="Times New Roman" w:cs="Times New Roman"/>
                <w:szCs w:val="28"/>
                <w:lang w:val="en-US" w:eastAsia="zh-CN"/>
              </w:rPr>
              <w:t>个为本次新增设备。在南北罐区之间的空地上，拆除原有的发货栈台，新建两跨南北联通式的发货栈台，增加了发货平台发货口。同时，对于罐区内原有的发货泵进行了更换，提高了发货泵的扬程和流量。本次改造后将大大提升成品罐区的发货效率和发货数量。</w:t>
            </w:r>
          </w:p>
          <w:p>
            <w:pPr>
              <w:keepNext w:val="0"/>
              <w:keepLines w:val="0"/>
              <w:widowControl w:val="0"/>
              <w:suppressLineNumbers w:val="0"/>
              <w:adjustRightInd w:val="0"/>
              <w:snapToGrid w:val="0"/>
              <w:spacing w:before="0" w:beforeAutospacing="0" w:after="0" w:afterAutospacing="0" w:line="240" w:lineRule="auto"/>
              <w:ind w:right="0" w:firstLine="420" w:firstLineChars="200"/>
              <w:jc w:val="left"/>
              <w:rPr>
                <w:rFonts w:ascii="Times New Roman" w:hAnsi="Times New Roman" w:cs="Times New Roman"/>
                <w:szCs w:val="28"/>
              </w:rPr>
            </w:pPr>
            <w:r>
              <w:rPr>
                <w:rFonts w:hint="eastAsia" w:ascii="Times New Roman" w:hAnsi="Times New Roman" w:cs="Times New Roman"/>
                <w:szCs w:val="28"/>
                <w:lang w:val="en-US" w:eastAsia="zh-CN"/>
              </w:rPr>
              <w:t>拟建项目于</w:t>
            </w:r>
            <w:r>
              <w:rPr>
                <w:rFonts w:hint="default" w:ascii="Times New Roman" w:hAnsi="Times New Roman" w:cs="Times New Roman"/>
                <w:szCs w:val="28"/>
                <w:lang w:val="en-US" w:eastAsia="zh-CN"/>
              </w:rPr>
              <w:t>2023</w:t>
            </w:r>
            <w:r>
              <w:rPr>
                <w:rFonts w:hint="eastAsia" w:ascii="Times New Roman" w:hAnsi="Times New Roman" w:cs="Times New Roman"/>
                <w:szCs w:val="28"/>
                <w:lang w:val="en-US" w:eastAsia="zh-CN"/>
              </w:rPr>
              <w:t>年</w:t>
            </w:r>
            <w:r>
              <w:rPr>
                <w:rFonts w:hint="default" w:ascii="Times New Roman" w:hAnsi="Times New Roman" w:cs="Times New Roman"/>
                <w:szCs w:val="28"/>
                <w:lang w:val="en-US" w:eastAsia="zh-CN"/>
              </w:rPr>
              <w:t>4</w:t>
            </w:r>
            <w:r>
              <w:rPr>
                <w:rFonts w:hint="eastAsia" w:ascii="Times New Roman" w:hAnsi="Times New Roman" w:cs="Times New Roman"/>
                <w:szCs w:val="28"/>
                <w:lang w:val="en-US" w:eastAsia="zh-CN"/>
              </w:rPr>
              <w:t>月</w:t>
            </w:r>
            <w:r>
              <w:rPr>
                <w:rFonts w:hint="default" w:ascii="Times New Roman" w:hAnsi="Times New Roman" w:cs="Times New Roman"/>
                <w:szCs w:val="28"/>
                <w:lang w:val="en-US" w:eastAsia="zh-CN"/>
              </w:rPr>
              <w:t>20</w:t>
            </w:r>
            <w:r>
              <w:rPr>
                <w:rFonts w:hint="eastAsia" w:ascii="Times New Roman" w:hAnsi="Times New Roman" w:cs="Times New Roman"/>
                <w:szCs w:val="28"/>
                <w:lang w:val="en-US" w:eastAsia="zh-CN"/>
              </w:rPr>
              <w:t>日在北仑区发展和改革局进行了备案，备案文号为</w:t>
            </w:r>
            <w:r>
              <w:rPr>
                <w:rFonts w:hint="default" w:ascii="Times New Roman" w:hAnsi="Times New Roman" w:cs="Times New Roman"/>
                <w:szCs w:val="28"/>
                <w:lang w:val="en-US" w:eastAsia="zh-CN"/>
              </w:rPr>
              <w:t>2304-330206-04-01-964877</w:t>
            </w:r>
            <w:r>
              <w:rPr>
                <w:rFonts w:hint="eastAsia" w:ascii="Times New Roman" w:hAnsi="Times New Roman" w:cs="Times New Roman"/>
                <w:szCs w:val="28"/>
                <w:lang w:val="en-US" w:eastAsia="zh-CN"/>
              </w:rPr>
              <w:t>，</w:t>
            </w:r>
            <w:r>
              <w:rPr>
                <w:rFonts w:hint="default" w:ascii="Times New Roman" w:hAnsi="Times New Roman" w:cs="Times New Roman"/>
                <w:szCs w:val="28"/>
                <w:lang w:val="en-US" w:eastAsia="zh-CN"/>
              </w:rPr>
              <w:t>2023</w:t>
            </w:r>
            <w:r>
              <w:rPr>
                <w:rFonts w:hint="eastAsia" w:ascii="Times New Roman" w:hAnsi="Times New Roman" w:cs="Times New Roman"/>
                <w:szCs w:val="28"/>
                <w:lang w:val="en-US" w:eastAsia="zh-CN"/>
              </w:rPr>
              <w:t>年</w:t>
            </w:r>
            <w:r>
              <w:rPr>
                <w:rFonts w:hint="default" w:ascii="Times New Roman" w:hAnsi="Times New Roman" w:cs="Times New Roman"/>
                <w:szCs w:val="28"/>
                <w:lang w:val="en-US" w:eastAsia="zh-CN"/>
              </w:rPr>
              <w:t>2</w:t>
            </w:r>
            <w:r>
              <w:rPr>
                <w:rFonts w:hint="eastAsia" w:ascii="Times New Roman" w:hAnsi="Times New Roman" w:cs="Times New Roman"/>
                <w:szCs w:val="28"/>
                <w:lang w:val="en-US" w:eastAsia="zh-CN"/>
              </w:rPr>
              <w:t>月由上海华谊有限公司完成了项目建议书的编制。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jc w:val="left"/>
              <w:rPr>
                <w:rFonts w:ascii="Times New Roman" w:hAnsi="Times New Roman" w:cs="Times New Roman"/>
                <w:szCs w:val="28"/>
              </w:rPr>
            </w:pPr>
            <w:r>
              <w:rPr>
                <w:rFonts w:ascii="Times New Roman" w:hAnsi="Times New Roman" w:cs="Times New Roman"/>
                <w:szCs w:val="28"/>
              </w:rPr>
              <w:t>现场调查时间</w:t>
            </w:r>
          </w:p>
        </w:tc>
        <w:tc>
          <w:tcPr>
            <w:tcW w:w="5576"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Times New Roman" w:hAnsi="Times New Roman" w:cs="Times New Roman"/>
                <w:szCs w:val="28"/>
              </w:rPr>
            </w:pPr>
            <w:r>
              <w:rPr>
                <w:rFonts w:hint="eastAsia" w:ascii="Times New Roman" w:hAnsi="Times New Roman" w:cs="Times New Roman"/>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jc w:val="left"/>
              <w:rPr>
                <w:rFonts w:ascii="Times New Roman" w:hAnsi="Times New Roman" w:cs="Times New Roman"/>
                <w:szCs w:val="28"/>
              </w:rPr>
            </w:pPr>
            <w:r>
              <w:rPr>
                <w:rFonts w:ascii="Times New Roman" w:hAnsi="Times New Roman" w:cs="Times New Roman"/>
                <w:szCs w:val="28"/>
              </w:rPr>
              <w:t>现场调查技术人员</w:t>
            </w:r>
          </w:p>
        </w:tc>
        <w:tc>
          <w:tcPr>
            <w:tcW w:w="22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Times New Roman" w:hAnsi="Times New Roman" w:cs="Times New Roman"/>
                <w:szCs w:val="28"/>
              </w:rPr>
            </w:pPr>
            <w:r>
              <w:rPr>
                <w:rFonts w:hint="eastAsia" w:ascii="Times New Roman" w:hAnsi="Times New Roman" w:cs="Times New Roman"/>
                <w:szCs w:val="28"/>
              </w:rPr>
              <w:t>/</w:t>
            </w:r>
          </w:p>
        </w:tc>
        <w:tc>
          <w:tcPr>
            <w:tcW w:w="1132" w:type="dxa"/>
            <w:tcBorders>
              <w:top w:val="single" w:color="auto" w:sz="4" w:space="0"/>
              <w:left w:val="single" w:color="auto" w:sz="4" w:space="0"/>
              <w:bottom w:val="single" w:color="auto" w:sz="4" w:space="0"/>
              <w:right w:val="single" w:color="auto" w:sz="4" w:space="0"/>
            </w:tcBorders>
            <w:shd w:val="clear" w:color="auto" w:fill="92D050"/>
            <w:vAlign w:val="center"/>
          </w:tcPr>
          <w:p>
            <w:pPr>
              <w:jc w:val="center"/>
              <w:rPr>
                <w:rFonts w:ascii="Times New Roman" w:hAnsi="Times New Roman" w:cs="Times New Roman"/>
                <w:szCs w:val="28"/>
              </w:rPr>
            </w:pPr>
            <w:r>
              <w:rPr>
                <w:rFonts w:ascii="Times New Roman" w:hAnsi="Times New Roman" w:cs="Times New Roman"/>
                <w:szCs w:val="28"/>
              </w:rPr>
              <w:t>企业陪同人</w:t>
            </w:r>
          </w:p>
        </w:tc>
        <w:tc>
          <w:tcPr>
            <w:tcW w:w="22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Cs w:val="28"/>
              </w:rPr>
            </w:pPr>
            <w:r>
              <w:rPr>
                <w:rFonts w:hint="eastAsia" w:ascii="Times New Roman" w:hAnsi="Times New Roman" w:cs="Times New Roman"/>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jc w:val="left"/>
              <w:rPr>
                <w:rFonts w:ascii="Times New Roman" w:hAnsi="Times New Roman" w:cs="Times New Roman"/>
                <w:szCs w:val="28"/>
              </w:rPr>
            </w:pPr>
            <w:r>
              <w:rPr>
                <w:rFonts w:ascii="Times New Roman" w:hAnsi="Times New Roman" w:cs="Times New Roman"/>
                <w:szCs w:val="28"/>
              </w:rPr>
              <w:t>现场采样、检测时间</w:t>
            </w:r>
          </w:p>
        </w:tc>
        <w:tc>
          <w:tcPr>
            <w:tcW w:w="5576"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Times New Roman" w:hAnsi="Times New Roman" w:cs="Times New Roman"/>
                <w:szCs w:val="28"/>
              </w:rPr>
            </w:pPr>
            <w:r>
              <w:rPr>
                <w:rFonts w:ascii="Times New Roman" w:hAnsi="Times New Roman" w:cs="Times New Roman"/>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jc w:val="left"/>
              <w:rPr>
                <w:rFonts w:ascii="Times New Roman" w:hAnsi="Times New Roman" w:cs="Times New Roman"/>
              </w:rPr>
            </w:pPr>
            <w:r>
              <w:rPr>
                <w:rFonts w:ascii="Times New Roman" w:hAnsi="Times New Roman" w:cs="Times New Roman"/>
              </w:rPr>
              <w:t>现场采样、检测人员</w:t>
            </w:r>
          </w:p>
        </w:tc>
        <w:tc>
          <w:tcPr>
            <w:tcW w:w="22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Times New Roman" w:hAnsi="Times New Roman" w:cs="Times New Roman"/>
              </w:rPr>
            </w:pPr>
            <w:r>
              <w:rPr>
                <w:rFonts w:ascii="Times New Roman" w:hAnsi="Times New Roman" w:cs="Times New Roman"/>
              </w:rPr>
              <w:t>/</w:t>
            </w:r>
          </w:p>
        </w:tc>
        <w:tc>
          <w:tcPr>
            <w:tcW w:w="1185" w:type="dxa"/>
            <w:gridSpan w:val="2"/>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jc w:val="center"/>
              <w:rPr>
                <w:rFonts w:ascii="Times New Roman" w:hAnsi="Times New Roman" w:cs="Times New Roman"/>
              </w:rPr>
            </w:pPr>
            <w:r>
              <w:rPr>
                <w:rFonts w:ascii="Times New Roman" w:hAnsi="Times New Roman" w:cs="Times New Roman"/>
              </w:rPr>
              <w:t>企业陪同人</w:t>
            </w:r>
          </w:p>
        </w:tc>
        <w:tc>
          <w:tcPr>
            <w:tcW w:w="217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Times New Roman" w:hAnsi="Times New Roman" w:cs="Times New Roman"/>
              </w:rPr>
            </w:pPr>
            <w:r>
              <w:rPr>
                <w:rFonts w:hint="eastAsia" w:ascii="Times New Roman" w:hAnsi="Times New Roman" w:cs="Times New Roman"/>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jc w:val="left"/>
              <w:rPr>
                <w:rFonts w:ascii="Times New Roman" w:hAnsi="Times New Roman" w:cs="Times New Roman"/>
              </w:rPr>
            </w:pPr>
            <w:r>
              <w:rPr>
                <w:rFonts w:ascii="Times New Roman" w:hAnsi="Times New Roman" w:cs="Times New Roman"/>
              </w:rPr>
              <w:t>建设单位（用人单位）职业病危害因素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left"/>
              <w:rPr>
                <w:rFonts w:ascii="Times New Roman" w:hAnsi="Times New Roman" w:cs="Times New Roman"/>
              </w:rPr>
            </w:pPr>
            <w:r>
              <w:rPr>
                <w:rFonts w:hint="eastAsia" w:ascii="Times New Roman" w:hAnsi="Times New Roman" w:cs="Times New Roman"/>
                <w:szCs w:val="28"/>
                <w:lang w:val="en-US" w:eastAsia="zh-CN"/>
              </w:rPr>
              <w:t>氢氧化钠、氯化氢、硫酸、噪声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jc w:val="center"/>
              <w:rPr>
                <w:rFonts w:ascii="Times New Roman" w:hAnsi="Times New Roman" w:cs="Times New Roman"/>
              </w:rPr>
            </w:pPr>
            <w:r>
              <w:rPr>
                <w:rFonts w:ascii="Times New Roman" w:hAnsi="Times New Roman" w:cs="Times New Roman"/>
              </w:rPr>
              <w:t>检测结果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516" w:type="dxa"/>
            <w:gridSpan w:val="5"/>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tabs>
                <w:tab w:val="left" w:pos="0"/>
                <w:tab w:val="left" w:pos="540"/>
              </w:tabs>
              <w:snapToGrid w:val="0"/>
              <w:ind w:firstLine="420" w:firstLineChars="200"/>
              <w:jc w:val="center"/>
              <w:rPr>
                <w:rFonts w:ascii="Times New Roman" w:hAnsi="Times New Roman" w:cs="Times New Roman"/>
              </w:rPr>
            </w:pPr>
            <w:r>
              <w:rPr>
                <w:rFonts w:ascii="Times New Roman" w:hAnsi="Times New Roman" w:cs="Times New Roman"/>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jc w:val="center"/>
              <w:rPr>
                <w:rFonts w:ascii="Times New Roman" w:hAnsi="Times New Roman" w:cs="Times New Roman"/>
              </w:rPr>
            </w:pPr>
            <w:r>
              <w:rPr>
                <w:rFonts w:ascii="Times New Roman" w:hAnsi="Times New Roman" w:cs="Times New Roman"/>
              </w:rPr>
              <w:t>评价结论与建议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adjustRightInd w:val="0"/>
              <w:jc w:val="left"/>
              <w:rPr>
                <w:rFonts w:ascii="Times New Roman" w:hAnsi="Times New Roman" w:cs="Times New Roman"/>
                <w:b/>
                <w:szCs w:val="28"/>
              </w:rPr>
            </w:pPr>
            <w:r>
              <w:rPr>
                <w:rFonts w:ascii="Times New Roman" w:hAnsi="Times New Roman" w:cs="Times New Roman"/>
                <w:b/>
                <w:szCs w:val="28"/>
              </w:rPr>
              <w:t>评价结论:</w:t>
            </w:r>
          </w:p>
          <w:p>
            <w:pPr>
              <w:adjustRightInd w:val="0"/>
              <w:snapToGrid w:val="0"/>
              <w:ind w:firstLine="420" w:firstLineChars="200"/>
              <w:jc w:val="left"/>
              <w:rPr>
                <w:rFonts w:ascii="Times New Roman" w:hAnsi="Times New Roman" w:cs="Times New Roman"/>
                <w:szCs w:val="28"/>
              </w:rPr>
            </w:pPr>
            <w:r>
              <w:rPr>
                <w:rFonts w:hint="eastAsia" w:ascii="Times New Roman" w:hAnsi="Times New Roman" w:cs="Times New Roman"/>
                <w:szCs w:val="28"/>
                <w:lang w:val="en-US" w:eastAsia="zh-CN"/>
              </w:rPr>
              <w:t>本预评价报告对万华化学（宁波）氯碱有限公司烧碱蒸发装置及成品罐区提升改造项目（成品罐区优化改造项目）进行了综合分析，拟建项目在采取了拟采取的职业病防护措施和本报告中提出的补充措施及建议情况下，在正常生产运行情况下，能够满足职业病防治方面法律、法规、标准的要求，拟建项目在职业病防治方面可行</w:t>
            </w:r>
            <w:r>
              <w:rPr>
                <w:rFonts w:hint="eastAsia" w:ascii="Times New Roman" w:hAnsi="Times New Roman" w:cs="Times New Roman"/>
                <w:szCs w:val="28"/>
              </w:rPr>
              <w:t>。</w:t>
            </w:r>
          </w:p>
          <w:p>
            <w:pPr>
              <w:jc w:val="left"/>
              <w:rPr>
                <w:rFonts w:ascii="Times New Roman" w:hAnsi="Times New Roman" w:cs="Times New Roman"/>
              </w:rPr>
            </w:pPr>
            <w:r>
              <w:rPr>
                <w:rFonts w:ascii="Times New Roman" w:hAnsi="Times New Roman" w:cs="Times New Roman"/>
                <w:b/>
                <w:szCs w:val="28"/>
              </w:rPr>
              <w:t>建议：</w:t>
            </w:r>
          </w:p>
          <w:p>
            <w:pPr>
              <w:adjustRightInd w:val="0"/>
              <w:snapToGrid w:val="0"/>
              <w:ind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w:t>
            </w:r>
            <w:r>
              <w:rPr>
                <w:rFonts w:hint="default" w:ascii="Times New Roman" w:hAnsi="Times New Roman" w:cs="Times New Roman"/>
                <w:szCs w:val="28"/>
                <w:lang w:val="en-US" w:eastAsia="zh-CN"/>
              </w:rPr>
              <w:t>1</w:t>
            </w:r>
            <w:r>
              <w:rPr>
                <w:rFonts w:hint="eastAsia" w:ascii="Times New Roman" w:hAnsi="Times New Roman" w:cs="Times New Roman"/>
                <w:szCs w:val="28"/>
                <w:lang w:val="en-US" w:eastAsia="zh-CN"/>
              </w:rPr>
              <w:t>）应将工作场所可能产生的职业病危害如实告知劳动者，在生产车间醒目位置设置职业病防治公告栏，并在可能产生职业病危害的作业岗位以及产生职业病危害的设备、材料、贮存场所等设置警示标识。</w:t>
            </w:r>
          </w:p>
          <w:p>
            <w:pPr>
              <w:adjustRightInd w:val="0"/>
              <w:snapToGrid w:val="0"/>
              <w:ind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w:t>
            </w:r>
            <w:r>
              <w:rPr>
                <w:rFonts w:hint="default" w:ascii="Times New Roman" w:hAnsi="Times New Roman" w:cs="Times New Roman"/>
                <w:szCs w:val="28"/>
                <w:lang w:val="en-US" w:eastAsia="zh-CN"/>
              </w:rPr>
              <w:t>2</w:t>
            </w:r>
            <w:r>
              <w:rPr>
                <w:rFonts w:hint="eastAsia" w:ascii="Times New Roman" w:hAnsi="Times New Roman" w:cs="Times New Roman"/>
                <w:szCs w:val="28"/>
                <w:lang w:val="en-US" w:eastAsia="zh-CN"/>
              </w:rPr>
              <w:t>）根据《职业健康监护技术规范》（</w:t>
            </w:r>
            <w:r>
              <w:rPr>
                <w:rFonts w:hint="default" w:ascii="Times New Roman" w:hAnsi="Times New Roman" w:cs="Times New Roman"/>
                <w:szCs w:val="28"/>
                <w:lang w:val="en-US" w:eastAsia="zh-CN"/>
              </w:rPr>
              <w:t>GBZ 188-2014</w:t>
            </w:r>
            <w:r>
              <w:rPr>
                <w:rFonts w:hint="eastAsia" w:ascii="Times New Roman" w:hAnsi="Times New Roman" w:cs="Times New Roman"/>
                <w:szCs w:val="28"/>
                <w:lang w:val="en-US" w:eastAsia="zh-CN"/>
              </w:rPr>
              <w:t>）的要求，做好拟建项目工人上岗前、在岗期间、离岗时的职业健康检查，并将检查结果书面告知劳动者；检查项目及周期按照标准的规定执行及落实；杜绝存在职业禁忌的劳动者从事有毒有害作业，对发现职业健康损害者，应按规定给予复查、诊疗，并妥善处置。</w:t>
            </w:r>
          </w:p>
          <w:p>
            <w:pPr>
              <w:adjustRightInd w:val="0"/>
              <w:snapToGrid w:val="0"/>
              <w:ind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w:t>
            </w:r>
            <w:r>
              <w:rPr>
                <w:rFonts w:hint="default" w:ascii="Times New Roman" w:hAnsi="Times New Roman" w:cs="Times New Roman"/>
                <w:szCs w:val="28"/>
                <w:lang w:val="en-US" w:eastAsia="zh-CN"/>
              </w:rPr>
              <w:t>3</w:t>
            </w:r>
            <w:r>
              <w:rPr>
                <w:rFonts w:hint="eastAsia" w:ascii="Times New Roman" w:hAnsi="Times New Roman" w:cs="Times New Roman"/>
                <w:szCs w:val="28"/>
                <w:lang w:val="en-US" w:eastAsia="zh-CN"/>
              </w:rPr>
              <w:t>）拟建项目个人防护用品的管理及购置应由专人负责，并按要求开展员工的使用、维护方面培训。</w:t>
            </w:r>
          </w:p>
          <w:p>
            <w:pPr>
              <w:adjustRightInd w:val="0"/>
              <w:snapToGrid w:val="0"/>
              <w:ind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w:t>
            </w:r>
            <w:r>
              <w:rPr>
                <w:rFonts w:hint="default" w:ascii="Times New Roman" w:hAnsi="Times New Roman" w:cs="Times New Roman"/>
                <w:szCs w:val="28"/>
                <w:lang w:val="en-US" w:eastAsia="zh-CN"/>
              </w:rPr>
              <w:t>4</w:t>
            </w:r>
            <w:r>
              <w:rPr>
                <w:rFonts w:hint="eastAsia" w:ascii="Times New Roman" w:hAnsi="Times New Roman" w:cs="Times New Roman"/>
                <w:szCs w:val="28"/>
                <w:lang w:val="en-US" w:eastAsia="zh-CN"/>
              </w:rPr>
              <w:t>）厂区车间浴室应按劳动者最多的班组人数进行设计，车间卫生等级为</w:t>
            </w:r>
            <w:r>
              <w:rPr>
                <w:rFonts w:hint="default" w:ascii="Times New Roman" w:hAnsi="Times New Roman" w:cs="Times New Roman"/>
                <w:szCs w:val="28"/>
                <w:lang w:val="en-US" w:eastAsia="zh-CN"/>
              </w:rPr>
              <w:t>2</w:t>
            </w:r>
            <w:r>
              <w:rPr>
                <w:rFonts w:hint="eastAsia" w:ascii="Times New Roman" w:hAnsi="Times New Roman" w:cs="Times New Roman"/>
                <w:szCs w:val="28"/>
                <w:lang w:val="en-US" w:eastAsia="zh-CN"/>
              </w:rPr>
              <w:t>级的作业场所每个淋浴器使用人数上限值为</w:t>
            </w:r>
            <w:r>
              <w:rPr>
                <w:rFonts w:hint="default" w:ascii="Times New Roman" w:hAnsi="Times New Roman" w:cs="Times New Roman"/>
                <w:szCs w:val="28"/>
                <w:lang w:val="en-US" w:eastAsia="zh-CN"/>
              </w:rPr>
              <w:t>6</w:t>
            </w:r>
            <w:r>
              <w:rPr>
                <w:rFonts w:hint="eastAsia" w:ascii="Times New Roman" w:hAnsi="Times New Roman" w:cs="Times New Roman"/>
                <w:szCs w:val="28"/>
                <w:lang w:val="en-US" w:eastAsia="zh-CN"/>
              </w:rPr>
              <w:t>人，车间卫生等级为</w:t>
            </w:r>
            <w:r>
              <w:rPr>
                <w:rFonts w:hint="default" w:ascii="Times New Roman" w:hAnsi="Times New Roman" w:cs="Times New Roman"/>
                <w:szCs w:val="28"/>
                <w:lang w:val="en-US" w:eastAsia="zh-CN"/>
              </w:rPr>
              <w:t>3</w:t>
            </w:r>
            <w:r>
              <w:rPr>
                <w:rFonts w:hint="eastAsia" w:ascii="Times New Roman" w:hAnsi="Times New Roman" w:cs="Times New Roman"/>
                <w:szCs w:val="28"/>
                <w:lang w:val="en-US" w:eastAsia="zh-CN"/>
              </w:rPr>
              <w:t>级的作业场所每个淋浴器使用人数上限值为</w:t>
            </w:r>
            <w:r>
              <w:rPr>
                <w:rFonts w:hint="default" w:ascii="Times New Roman" w:hAnsi="Times New Roman" w:cs="Times New Roman"/>
                <w:szCs w:val="28"/>
                <w:lang w:val="en-US" w:eastAsia="zh-CN"/>
              </w:rPr>
              <w:t>9</w:t>
            </w:r>
            <w:r>
              <w:rPr>
                <w:rFonts w:hint="eastAsia" w:ascii="Times New Roman" w:hAnsi="Times New Roman" w:cs="Times New Roman"/>
                <w:szCs w:val="28"/>
                <w:lang w:val="en-US" w:eastAsia="zh-CN"/>
              </w:rPr>
              <w:t>人。</w:t>
            </w:r>
          </w:p>
          <w:p>
            <w:pPr>
              <w:adjustRightInd w:val="0"/>
              <w:snapToGrid w:val="0"/>
              <w:ind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（5）初步设计时，建设单位应依据《建设项目职业病防护设施“三同时”监督管理办法》（国家安全生产监督管理总局令第90号）的要求，编制建设项目职业病防护设施设计专篇。</w:t>
            </w:r>
          </w:p>
          <w:p>
            <w:pPr>
              <w:adjustRightInd w:val="0"/>
              <w:snapToGrid w:val="0"/>
              <w:ind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6）建设施工期，建设单位应要求施工单位按照《中华人民共和国职业病防治法》的要求开展各项职业病防治工作，提交建设施工期工作场所职业病危害因素检测与评价、职业健康监护等相关资料和职业病防治总结报告。</w:t>
            </w:r>
          </w:p>
          <w:p>
            <w:pPr>
              <w:adjustRightInd w:val="0"/>
              <w:snapToGrid w:val="0"/>
              <w:ind w:firstLine="420" w:firstLineChars="200"/>
              <w:jc w:val="left"/>
              <w:rPr>
                <w:szCs w:val="28"/>
              </w:rPr>
            </w:pPr>
            <w:r>
              <w:rPr>
                <w:rFonts w:hint="eastAsia" w:ascii="Times New Roman" w:hAnsi="Times New Roman" w:cs="Times New Roman"/>
                <w:szCs w:val="28"/>
                <w:lang w:val="en-US" w:eastAsia="zh-CN"/>
              </w:rPr>
              <w:t>（7）在竣工验收前，建设单位应进行拟建项目的职业病危害控制效果评价。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jc w:val="center"/>
              <w:rPr>
                <w:rFonts w:ascii="Times New Roman" w:hAnsi="Times New Roman" w:cs="Times New Roman"/>
                <w:szCs w:val="28"/>
              </w:rPr>
            </w:pPr>
            <w:r>
              <w:rPr>
                <w:rFonts w:ascii="Times New Roman" w:hAnsi="Times New Roman" w:cs="Times New Roman"/>
                <w:szCs w:val="28"/>
              </w:rPr>
              <w:t>技术审查专家组评审意见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8" w:hRule="atLeast"/>
          <w:jc w:val="center"/>
        </w:trPr>
        <w:tc>
          <w:tcPr>
            <w:tcW w:w="8516" w:type="dxa"/>
            <w:gridSpan w:val="5"/>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adjustRightInd w:val="0"/>
              <w:snapToGrid w:val="0"/>
              <w:ind w:firstLine="420" w:firstLineChars="200"/>
              <w:jc w:val="left"/>
              <w:rPr>
                <w:rFonts w:ascii="Times New Roman" w:hAnsi="Times New Roman" w:cs="Times New Roman"/>
                <w:szCs w:val="28"/>
              </w:rPr>
            </w:pPr>
          </w:p>
          <w:p>
            <w:pPr>
              <w:adjustRightInd w:val="0"/>
              <w:snapToGrid w:val="0"/>
              <w:ind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一、《预评价报告》目的明确、依据充分、程序规范、内容基本齐全，符合《</w:t>
            </w:r>
            <w:bookmarkStart w:id="0" w:name="_GoBack"/>
            <w:bookmarkEnd w:id="0"/>
            <w:r>
              <w:rPr>
                <w:rFonts w:hint="eastAsia" w:ascii="Times New Roman" w:hAnsi="Times New Roman" w:cs="Times New Roman"/>
                <w:szCs w:val="28"/>
                <w:lang w:val="en-US" w:eastAsia="zh-CN"/>
              </w:rPr>
              <w:t>职业病防治法》及相关法律、法规和技术标准的要求；</w:t>
            </w:r>
          </w:p>
          <w:p>
            <w:pPr>
              <w:adjustRightInd w:val="0"/>
              <w:snapToGrid w:val="0"/>
              <w:ind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二、《预评价报告》对该建设项目的职业病危害因素及对劳动者健康危害程度的分析和评价较全面、客观、准确；</w:t>
            </w:r>
          </w:p>
          <w:p>
            <w:pPr>
              <w:adjustRightInd w:val="0"/>
              <w:snapToGrid w:val="0"/>
              <w:ind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三、《预评价报告》对该建设项目拟设置的职业病防护设施和个体防护用品分析与评价基本正确；</w:t>
            </w:r>
          </w:p>
          <w:p>
            <w:pPr>
              <w:adjustRightInd w:val="0"/>
              <w:snapToGrid w:val="0"/>
              <w:ind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四、《预评价报告》对该建设单位拟设置的职业卫生管理机构和职业卫生管理人员配置及有关制度进行了表述，提出的建议符合要求；</w:t>
            </w:r>
          </w:p>
          <w:p>
            <w:pPr>
              <w:adjustRightInd w:val="0"/>
              <w:snapToGrid w:val="0"/>
              <w:ind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五、《预评价报告》对该建设项目提出的职业病防护措施和建议基本合理、可行，符合相关标准、规范的要求。</w:t>
            </w:r>
          </w:p>
          <w:p>
            <w:pPr>
              <w:adjustRightInd w:val="0"/>
              <w:snapToGrid w:val="0"/>
              <w:ind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六、《预评价报告》对该建设项目的职业病危害类型判定准确，评价结论正确。</w:t>
            </w:r>
          </w:p>
          <w:p>
            <w:pPr>
              <w:adjustRightInd w:val="0"/>
              <w:snapToGrid w:val="0"/>
              <w:ind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七、评审结论</w:t>
            </w:r>
          </w:p>
          <w:p>
            <w:pPr>
              <w:adjustRightInd w:val="0"/>
              <w:snapToGrid w:val="0"/>
              <w:ind w:firstLine="420" w:firstLineChars="200"/>
              <w:jc w:val="left"/>
              <w:rPr>
                <w:rFonts w:ascii="Times New Roman" w:hAnsi="Times New Roman" w:cs="Times New Roman"/>
              </w:rPr>
            </w:pPr>
            <w:r>
              <w:rPr>
                <w:rFonts w:hint="eastAsia" w:ascii="Times New Roman" w:hAnsi="Times New Roman" w:cs="Times New Roman"/>
                <w:szCs w:val="28"/>
                <w:lang w:val="en-US" w:eastAsia="zh-CN"/>
              </w:rPr>
              <w:t>专家组同意通过该《预评价报告》。</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auto"/>
    <w:pitch w:val="fixed"/>
    <w:sig w:usb0="00000001" w:usb1="080E0000" w:usb2="00000000" w:usb3="00000000" w:csb0="00040000" w:csb1="00000000"/>
  </w:font>
  <w:font w:name="@仿宋_GB2312">
    <w:panose1 w:val="02010609030101010101"/>
    <w:charset w:val="86"/>
    <w:family w:val="auto"/>
    <w:pitch w:val="fixed"/>
    <w:sig w:usb0="00000001" w:usb1="080E0000" w:usb2="00000000" w:usb3="00000000" w:csb0="00040000" w:csb1="00000000"/>
  </w:font>
  <w:font w:name="Calibri Light">
    <w:panose1 w:val="020F0302020204030204"/>
    <w:charset w:val="00"/>
    <w:family w:val="auto"/>
    <w:pitch w:val="variable"/>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zZDdlNGM5ZDNjMjlhYzNkNTM3NTZjNDAyM2Q3YzgifQ=="/>
  </w:docVars>
  <w:rsids>
    <w:rsidRoot w:val="00F86064"/>
    <w:rsid w:val="00002BC1"/>
    <w:rsid w:val="00031C4A"/>
    <w:rsid w:val="00047595"/>
    <w:rsid w:val="00047D73"/>
    <w:rsid w:val="0005417D"/>
    <w:rsid w:val="000A1057"/>
    <w:rsid w:val="000D3C35"/>
    <w:rsid w:val="000D427F"/>
    <w:rsid w:val="000E5DFB"/>
    <w:rsid w:val="00106046"/>
    <w:rsid w:val="0011440B"/>
    <w:rsid w:val="00120D44"/>
    <w:rsid w:val="0015152C"/>
    <w:rsid w:val="001F46C9"/>
    <w:rsid w:val="00206FFC"/>
    <w:rsid w:val="00241A79"/>
    <w:rsid w:val="00257880"/>
    <w:rsid w:val="002B79F4"/>
    <w:rsid w:val="002D06BB"/>
    <w:rsid w:val="002F4583"/>
    <w:rsid w:val="0031004F"/>
    <w:rsid w:val="00316860"/>
    <w:rsid w:val="003374F4"/>
    <w:rsid w:val="00367CB0"/>
    <w:rsid w:val="003C1514"/>
    <w:rsid w:val="003F6478"/>
    <w:rsid w:val="00420AC5"/>
    <w:rsid w:val="00436FEC"/>
    <w:rsid w:val="00467281"/>
    <w:rsid w:val="00475F0F"/>
    <w:rsid w:val="00485836"/>
    <w:rsid w:val="004F2C4F"/>
    <w:rsid w:val="0050551E"/>
    <w:rsid w:val="00522814"/>
    <w:rsid w:val="00522C8E"/>
    <w:rsid w:val="005429DB"/>
    <w:rsid w:val="00562E1F"/>
    <w:rsid w:val="0057738A"/>
    <w:rsid w:val="005A6E60"/>
    <w:rsid w:val="005F16E6"/>
    <w:rsid w:val="00611F39"/>
    <w:rsid w:val="00613104"/>
    <w:rsid w:val="00635AFF"/>
    <w:rsid w:val="006463E8"/>
    <w:rsid w:val="00650C4D"/>
    <w:rsid w:val="00663D60"/>
    <w:rsid w:val="006A03EE"/>
    <w:rsid w:val="006B3B2C"/>
    <w:rsid w:val="006B661A"/>
    <w:rsid w:val="006B6D31"/>
    <w:rsid w:val="006F1E22"/>
    <w:rsid w:val="00701914"/>
    <w:rsid w:val="00711AB0"/>
    <w:rsid w:val="0073054C"/>
    <w:rsid w:val="00735CAF"/>
    <w:rsid w:val="00747DF7"/>
    <w:rsid w:val="007561E8"/>
    <w:rsid w:val="00756484"/>
    <w:rsid w:val="0076687D"/>
    <w:rsid w:val="007C7BED"/>
    <w:rsid w:val="007E735E"/>
    <w:rsid w:val="007F27EE"/>
    <w:rsid w:val="007F5549"/>
    <w:rsid w:val="00817317"/>
    <w:rsid w:val="00883DA3"/>
    <w:rsid w:val="008C097E"/>
    <w:rsid w:val="008C1364"/>
    <w:rsid w:val="008C427F"/>
    <w:rsid w:val="00902E17"/>
    <w:rsid w:val="0096350F"/>
    <w:rsid w:val="00964EE0"/>
    <w:rsid w:val="009E2FE4"/>
    <w:rsid w:val="009E5FB0"/>
    <w:rsid w:val="00A00CDD"/>
    <w:rsid w:val="00A160E8"/>
    <w:rsid w:val="00A2324E"/>
    <w:rsid w:val="00A458E3"/>
    <w:rsid w:val="00A720CA"/>
    <w:rsid w:val="00A76523"/>
    <w:rsid w:val="00AB21E4"/>
    <w:rsid w:val="00AF2F58"/>
    <w:rsid w:val="00AF4A8B"/>
    <w:rsid w:val="00AF54B1"/>
    <w:rsid w:val="00AF65A2"/>
    <w:rsid w:val="00AF6871"/>
    <w:rsid w:val="00B0719F"/>
    <w:rsid w:val="00B17E07"/>
    <w:rsid w:val="00B23E9B"/>
    <w:rsid w:val="00B42FEA"/>
    <w:rsid w:val="00B81922"/>
    <w:rsid w:val="00BC69BB"/>
    <w:rsid w:val="00BD2833"/>
    <w:rsid w:val="00BE7FD0"/>
    <w:rsid w:val="00C92CA5"/>
    <w:rsid w:val="00C94DF7"/>
    <w:rsid w:val="00CA4CD1"/>
    <w:rsid w:val="00CB0655"/>
    <w:rsid w:val="00CF2AB9"/>
    <w:rsid w:val="00CF4DCB"/>
    <w:rsid w:val="00D46BD7"/>
    <w:rsid w:val="00E16DD4"/>
    <w:rsid w:val="00E63895"/>
    <w:rsid w:val="00EE17F1"/>
    <w:rsid w:val="00EE6E5D"/>
    <w:rsid w:val="00EF5B22"/>
    <w:rsid w:val="00F11002"/>
    <w:rsid w:val="00F118EB"/>
    <w:rsid w:val="00F504B7"/>
    <w:rsid w:val="00F82C62"/>
    <w:rsid w:val="00F86064"/>
    <w:rsid w:val="079F4BA3"/>
    <w:rsid w:val="366F0AEF"/>
    <w:rsid w:val="3C7303B6"/>
    <w:rsid w:val="408F7977"/>
    <w:rsid w:val="50F149A8"/>
    <w:rsid w:val="66FA7A3A"/>
    <w:rsid w:val="69B87C08"/>
    <w:rsid w:val="6EF25B94"/>
    <w:rsid w:val="74FB0A5C"/>
    <w:rsid w:val="7BDA1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caption"/>
    <w:basedOn w:val="1"/>
    <w:qFormat/>
    <w:uiPriority w:val="35"/>
    <w:pPr>
      <w:widowControl/>
      <w:spacing w:before="100" w:beforeAutospacing="1" w:after="100" w:afterAutospacing="1"/>
      <w:jc w:val="left"/>
    </w:pPr>
    <w:rPr>
      <w:rFonts w:ascii="宋体" w:hAnsi="宋体" w:eastAsia="宋体" w:cs="宋体"/>
      <w:kern w:val="0"/>
      <w:sz w:val="24"/>
      <w:szCs w:val="24"/>
    </w:rPr>
  </w:style>
  <w:style w:type="paragraph" w:styleId="3">
    <w:name w:val="annotation text"/>
    <w:basedOn w:val="1"/>
    <w:link w:val="14"/>
    <w:qFormat/>
    <w:uiPriority w:val="0"/>
    <w:pPr>
      <w:widowControl/>
      <w:jc w:val="left"/>
    </w:pPr>
    <w:rPr>
      <w:rFonts w:ascii="Times New Roman" w:hAnsi="Times New Roman" w:eastAsia="宋体" w:cs="Times New Roman"/>
      <w:szCs w:val="20"/>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6"/>
    <w:qFormat/>
    <w:uiPriority w:val="0"/>
    <w:pPr>
      <w:widowControl/>
      <w:snapToGrid w:val="0"/>
      <w:jc w:val="left"/>
    </w:pPr>
    <w:rPr>
      <w:rFonts w:ascii="Times New Roman" w:hAnsi="Times New Roman" w:eastAsia="宋体" w:cs="Times New Roman"/>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paragraph" w:styleId="12">
    <w:name w:val="List Paragraph"/>
    <w:basedOn w:val="1"/>
    <w:link w:val="18"/>
    <w:qFormat/>
    <w:uiPriority w:val="34"/>
    <w:pPr>
      <w:widowControl/>
      <w:ind w:firstLine="420" w:firstLineChars="200"/>
      <w:jc w:val="left"/>
    </w:pPr>
  </w:style>
  <w:style w:type="paragraph" w:customStyle="1" w:styleId="13">
    <w:name w:val="列出段落3"/>
    <w:basedOn w:val="1"/>
    <w:semiHidden/>
    <w:unhideWhenUsed/>
    <w:qFormat/>
    <w:uiPriority w:val="99"/>
    <w:pPr>
      <w:ind w:firstLine="420" w:firstLineChars="200"/>
    </w:pPr>
    <w:rPr>
      <w:rFonts w:ascii="Times New Roman" w:hAnsi="Times New Roman" w:eastAsia="宋体" w:cs="Times New Roman"/>
      <w:szCs w:val="24"/>
    </w:rPr>
  </w:style>
  <w:style w:type="character" w:customStyle="1" w:styleId="14">
    <w:name w:val="批注文字 Char"/>
    <w:link w:val="3"/>
    <w:qFormat/>
    <w:uiPriority w:val="0"/>
    <w:rPr>
      <w:rFonts w:ascii="Times New Roman" w:hAnsi="Times New Roman" w:eastAsia="宋体" w:cs="Times New Roman"/>
      <w:szCs w:val="20"/>
    </w:rPr>
  </w:style>
  <w:style w:type="character" w:customStyle="1" w:styleId="15">
    <w:name w:val="批注文字 Char1"/>
    <w:basedOn w:val="9"/>
    <w:semiHidden/>
    <w:qFormat/>
    <w:uiPriority w:val="99"/>
  </w:style>
  <w:style w:type="character" w:customStyle="1" w:styleId="16">
    <w:name w:val="脚注文本 Char"/>
    <w:link w:val="6"/>
    <w:qFormat/>
    <w:uiPriority w:val="0"/>
    <w:rPr>
      <w:rFonts w:ascii="Times New Roman" w:hAnsi="Times New Roman" w:eastAsia="宋体" w:cs="Times New Roman"/>
      <w:sz w:val="18"/>
      <w:szCs w:val="18"/>
    </w:rPr>
  </w:style>
  <w:style w:type="character" w:customStyle="1" w:styleId="17">
    <w:name w:val="脚注文本 Char1"/>
    <w:basedOn w:val="9"/>
    <w:semiHidden/>
    <w:qFormat/>
    <w:uiPriority w:val="99"/>
    <w:rPr>
      <w:sz w:val="18"/>
      <w:szCs w:val="18"/>
    </w:rPr>
  </w:style>
  <w:style w:type="character" w:customStyle="1" w:styleId="18">
    <w:name w:val="列出段落 Char"/>
    <w:basedOn w:val="9"/>
    <w:link w:val="12"/>
    <w:qFormat/>
    <w:uiPriority w:val="34"/>
  </w:style>
  <w:style w:type="paragraph" w:customStyle="1" w:styleId="19">
    <w:name w:val="msolistparagraph"/>
    <w:basedOn w:val="1"/>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character" w:customStyle="1" w:styleId="20">
    <w:name w:val="标题 2 Char"/>
    <w:basedOn w:val="9"/>
    <w:uiPriority w:val="0"/>
    <w:rPr>
      <w:rFonts w:hint="default" w:ascii="Calibri Light" w:hAnsi="Calibri Light" w:eastAsia="宋体" w:cs="Times New Roman"/>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2DA54-AD23-4E1D-97E4-1C0AE7C11B9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270</Words>
  <Characters>1539</Characters>
  <Lines>12</Lines>
  <Paragraphs>3</Paragraphs>
  <TotalTime>0</TotalTime>
  <ScaleCrop>false</ScaleCrop>
  <LinksUpToDate>false</LinksUpToDate>
  <CharactersWithSpaces>1806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2023-06-21T06:47:00Z</dcterms:created>
  <dc:creator>11</dc:creator>
  <cp:lastModifiedBy>licuiyun</cp:lastModifiedBy>
  <dcterms:modified xsi:type="dcterms:W3CDTF">2023-10-11T06:56:02Z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9E91934CED8944DD9DF44B55E702EA8A_12</vt:lpwstr>
  </property>
</Properties>
</file>